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大标宋"/>
          <w:sz w:val="84"/>
          <w:szCs w:val="84"/>
        </w:rPr>
      </w:pPr>
    </w:p>
    <w:p>
      <w:pPr>
        <w:spacing w:line="2200" w:lineRule="exact"/>
        <w:jc w:val="center"/>
        <w:rPr>
          <w:rFonts w:ascii="文星简大标宋" w:eastAsia="文星简大标宋"/>
          <w:sz w:val="84"/>
          <w:szCs w:val="84"/>
        </w:rPr>
      </w:pP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2021年青岛市李沧区人民检察院</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部门预算</w:t>
      </w:r>
    </w:p>
    <w:p>
      <w:pPr>
        <w:rPr>
          <w:sz w:val="52"/>
          <w:szCs w:val="52"/>
        </w:rPr>
      </w:pPr>
    </w:p>
    <w:p/>
    <w:p/>
    <w:p/>
    <w:p/>
    <w:p/>
    <w:p/>
    <w:p/>
    <w:p/>
    <w:p/>
    <w:p/>
    <w:p/>
    <w:p/>
    <w:p/>
    <w:p/>
    <w:p/>
    <w:p/>
    <w:p>
      <w:pPr>
        <w:spacing w:line="580" w:lineRule="exact"/>
      </w:pPr>
      <w: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60" w:lineRule="exact"/>
        <w:jc w:val="center"/>
        <w:rPr>
          <w:rFonts w:ascii="黑体" w:eastAsia="黑体"/>
          <w:sz w:val="44"/>
          <w:szCs w:val="44"/>
        </w:rPr>
      </w:pPr>
    </w:p>
    <w:p>
      <w:pPr>
        <w:spacing w:line="560" w:lineRule="exact"/>
        <w:rPr>
          <w:rFonts w:ascii="黑体" w:eastAsia="黑体"/>
          <w:sz w:val="36"/>
          <w:szCs w:val="36"/>
        </w:rPr>
      </w:pPr>
      <w:r>
        <w:rPr>
          <w:rFonts w:hint="eastAsia" w:ascii="黑体" w:eastAsia="黑体"/>
          <w:sz w:val="36"/>
          <w:szCs w:val="36"/>
        </w:rPr>
        <w:t>第一部分 区检察院部门概况</w:t>
      </w:r>
    </w:p>
    <w:p>
      <w:pPr>
        <w:spacing w:line="560" w:lineRule="exact"/>
        <w:ind w:left="640"/>
        <w:rPr>
          <w:rFonts w:ascii="仿宋_GB2312" w:eastAsia="仿宋_GB2312"/>
          <w:sz w:val="32"/>
          <w:szCs w:val="32"/>
        </w:rPr>
      </w:pPr>
      <w:r>
        <w:rPr>
          <w:rFonts w:hint="eastAsia" w:ascii="仿宋_GB2312" w:eastAsia="仿宋_GB2312"/>
          <w:sz w:val="32"/>
          <w:szCs w:val="32"/>
        </w:rPr>
        <w:t>一、主要职能</w:t>
      </w:r>
    </w:p>
    <w:p>
      <w:pPr>
        <w:spacing w:line="560" w:lineRule="exact"/>
        <w:ind w:left="640"/>
        <w:rPr>
          <w:rFonts w:ascii="仿宋_GB2312" w:eastAsia="仿宋_GB2312"/>
          <w:sz w:val="32"/>
          <w:szCs w:val="32"/>
        </w:rPr>
      </w:pPr>
      <w:r>
        <w:rPr>
          <w:rFonts w:hint="eastAsia" w:ascii="仿宋_GB2312" w:eastAsia="仿宋_GB2312"/>
          <w:sz w:val="32"/>
          <w:szCs w:val="32"/>
        </w:rPr>
        <w:t>二、机构设置</w:t>
      </w:r>
    </w:p>
    <w:p>
      <w:pPr>
        <w:spacing w:line="560" w:lineRule="exact"/>
        <w:ind w:left="640"/>
        <w:rPr>
          <w:rFonts w:ascii="黑体" w:eastAsia="黑体"/>
          <w:sz w:val="32"/>
          <w:szCs w:val="32"/>
        </w:rPr>
      </w:pPr>
      <w:r>
        <w:rPr>
          <w:rFonts w:hint="eastAsia" w:ascii="仿宋_GB2312" w:eastAsia="仿宋_GB2312"/>
          <w:sz w:val="32"/>
          <w:szCs w:val="32"/>
        </w:rPr>
        <w:t>三、预算单位构成</w:t>
      </w:r>
    </w:p>
    <w:p>
      <w:pPr>
        <w:spacing w:line="560" w:lineRule="exact"/>
        <w:rPr>
          <w:rFonts w:ascii="黑体" w:eastAsia="黑体"/>
          <w:sz w:val="36"/>
          <w:szCs w:val="36"/>
        </w:rPr>
      </w:pPr>
      <w:r>
        <w:rPr>
          <w:rFonts w:hint="eastAsia" w:ascii="黑体" w:eastAsia="黑体"/>
          <w:sz w:val="36"/>
          <w:szCs w:val="36"/>
        </w:rPr>
        <w:t>第二部分 区检察院部门2021年部门预算表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一、2021年单位收支总表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二、2021年单位收入总表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三、2021年单位支出总表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四、2021年财政拨款收支总表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五、2021年一般公共预算支出表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六、2021年一般公共预算基本支出表（部门经济分类）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七、2021年一般公共预算基本支出表（政府经济分类）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八、2021年政府性基金预算支出表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九、2021年单位“三公”经费预算表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十、2021年政府采购预算表</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十一、</w:t>
      </w:r>
      <w:r>
        <w:rPr>
          <w:rFonts w:hint="eastAsia" w:ascii="仿宋_GB2312" w:hAnsi="仿宋_GB2312" w:eastAsia="仿宋_GB2312" w:cs="仿宋_GB2312"/>
          <w:sz w:val="32"/>
          <w:szCs w:val="32"/>
        </w:rPr>
        <w:t>2021年政府采购预算表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十二、2021年政府购买服务预算表</w:t>
      </w:r>
    </w:p>
    <w:p>
      <w:pPr>
        <w:spacing w:line="560" w:lineRule="exact"/>
        <w:ind w:left="1602" w:hanging="1602" w:hangingChars="445"/>
        <w:rPr>
          <w:rFonts w:ascii="黑体" w:eastAsia="黑体"/>
          <w:sz w:val="36"/>
          <w:szCs w:val="36"/>
        </w:rPr>
      </w:pPr>
      <w:r>
        <w:rPr>
          <w:rFonts w:hint="eastAsia" w:ascii="黑体" w:eastAsia="黑体"/>
          <w:sz w:val="36"/>
          <w:szCs w:val="36"/>
        </w:rPr>
        <w:t>第三部分 区检察院部门2021年部门预算情况和重要事项说明</w:t>
      </w:r>
    </w:p>
    <w:p>
      <w:pPr>
        <w:spacing w:line="560" w:lineRule="exact"/>
        <w:ind w:left="1602" w:hanging="1602" w:hangingChars="445"/>
        <w:rPr>
          <w:rFonts w:ascii="黑体" w:eastAsia="黑体"/>
          <w:sz w:val="36"/>
          <w:szCs w:val="36"/>
        </w:rPr>
      </w:pPr>
      <w:r>
        <w:rPr>
          <w:rFonts w:hint="eastAsia" w:ascii="黑体" w:eastAsia="黑体"/>
          <w:sz w:val="36"/>
          <w:szCs w:val="36"/>
        </w:rPr>
        <w:t>第四部分 名词解释</w:t>
      </w:r>
    </w:p>
    <w:p>
      <w:pPr>
        <w:spacing w:line="580" w:lineRule="exact"/>
        <w:ind w:left="1602" w:hanging="1602" w:hangingChars="445"/>
        <w:rPr>
          <w:rFonts w:ascii="黑体" w:eastAsia="黑体"/>
          <w:sz w:val="36"/>
          <w:szCs w:val="36"/>
        </w:rPr>
      </w:pPr>
      <w:r>
        <w:rPr>
          <w:rFonts w:hint="eastAsia" w:ascii="黑体" w:eastAsia="黑体"/>
          <w:sz w:val="36"/>
          <w:szCs w:val="36"/>
        </w:rPr>
        <w:t xml:space="preserve"> </w:t>
      </w:r>
    </w:p>
    <w:p>
      <w:pPr>
        <w:rPr>
          <w:rFonts w:ascii="黑体" w:eastAsia="黑体"/>
          <w:sz w:val="52"/>
          <w:szCs w:val="52"/>
        </w:rPr>
      </w:pPr>
      <w:r>
        <w:rPr>
          <w:rFonts w:hint="eastAsia" w:ascii="黑体" w:eastAsia="黑体"/>
          <w:sz w:val="52"/>
          <w:szCs w:val="52"/>
        </w:rPr>
        <w:t>第一部分</w:t>
      </w: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李沧检察院部门概况</w:t>
      </w:r>
    </w:p>
    <w:p>
      <w:pPr>
        <w:jc w:val="center"/>
        <w:rPr>
          <w:rFonts w:ascii="黑体" w:eastAsia="黑体"/>
          <w:sz w:val="52"/>
          <w:szCs w:val="52"/>
        </w:rPr>
      </w:pPr>
    </w:p>
    <w:p>
      <w:pPr>
        <w:spacing w:line="580" w:lineRule="exact"/>
        <w:ind w:firstLine="640" w:firstLineChars="200"/>
        <w:rPr>
          <w:rFonts w:ascii="黑体" w:eastAsia="黑体"/>
          <w:sz w:val="32"/>
          <w:szCs w:val="32"/>
        </w:rPr>
      </w:pPr>
      <w:r>
        <w:rPr>
          <w:rFonts w:hint="eastAsia" w:ascii="黑体" w:eastAsia="黑体"/>
          <w:sz w:val="32"/>
          <w:szCs w:val="32"/>
        </w:rPr>
        <w:t>一、主要职能</w:t>
      </w:r>
    </w:p>
    <w:p>
      <w:pPr>
        <w:pStyle w:val="6"/>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李沧区人民检察院是代表国家依法行使检察权的国家机关，其主要职责是追究刑事责任 ，提起公诉和实施法律监督。主要行使下列职权:</w:t>
      </w:r>
    </w:p>
    <w:p>
      <w:pPr>
        <w:pStyle w:val="6"/>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1.对于叛国案、分裂国家案以及严重破坏国家的政策、法律、法令、政令统一实施的重大犯罪案件，行使检察权。</w:t>
      </w:r>
    </w:p>
    <w:p>
      <w:pPr>
        <w:pStyle w:val="6"/>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2.对于直接受理的刑事案件，进行侦查。</w:t>
      </w:r>
    </w:p>
    <w:p>
      <w:pPr>
        <w:pStyle w:val="6"/>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3.对于公安机关侦查的案件，进行审查，决定是否逮捕、起诉或者不起诉;对于公安机关的侦查活动是否合法，实行监督。</w:t>
      </w:r>
    </w:p>
    <w:p>
      <w:pPr>
        <w:pStyle w:val="6"/>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4.对于刑事案件提起公诉，支持公诉;对于人民法院的审判活动是否合法，实行监督。</w:t>
      </w: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5.对于刑事案件判决、裁定的执行和监狱、看守所、劳动改造机关的活动是否合法，实行监督。　　</w:t>
      </w:r>
    </w:p>
    <w:p>
      <w:pPr>
        <w:spacing w:line="560" w:lineRule="exact"/>
        <w:ind w:firstLine="640" w:firstLineChars="200"/>
        <w:jc w:val="left"/>
        <w:rPr>
          <w:rFonts w:ascii="仿宋_GB2312" w:hAnsi="仿宋_GB2312" w:eastAsia="仿宋_GB2312" w:cs="仿宋_GB2312"/>
          <w:sz w:val="32"/>
          <w:szCs w:val="32"/>
          <w:shd w:val="clear" w:color="auto" w:fill="FFFFFF"/>
        </w:rPr>
      </w:pPr>
    </w:p>
    <w:p>
      <w:pPr>
        <w:spacing w:line="580" w:lineRule="exact"/>
        <w:ind w:firstLine="645"/>
        <w:rPr>
          <w:rFonts w:ascii="黑体" w:eastAsia="黑体"/>
          <w:sz w:val="32"/>
          <w:szCs w:val="32"/>
        </w:rPr>
      </w:pPr>
      <w:r>
        <w:rPr>
          <w:rFonts w:hint="eastAsia" w:ascii="黑体" w:eastAsia="黑体"/>
          <w:sz w:val="32"/>
          <w:szCs w:val="32"/>
        </w:rPr>
        <w:t>二、机构设置</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 w:eastAsia="仿宋_GB2312" w:cs="Arial"/>
          <w:sz w:val="32"/>
          <w:szCs w:val="32"/>
          <w:shd w:val="clear" w:color="auto" w:fill="FFFFFF"/>
        </w:rPr>
        <w:t>青岛市李沧区人民检察院现内设办公室（新闻办公室）、政治部、第一检察部、第二检察部、第三检察部、第四检察部、第五检察部、检察业务管理部（法警大队）等8个部门。下设机关服务中心，为自收自支事业单位，不独立核算。</w:t>
      </w:r>
    </w:p>
    <w:p>
      <w:pPr>
        <w:spacing w:line="580" w:lineRule="exact"/>
        <w:ind w:firstLine="640" w:firstLineChars="200"/>
        <w:rPr>
          <w:rFonts w:ascii="黑体" w:eastAsia="黑体"/>
          <w:sz w:val="32"/>
          <w:szCs w:val="32"/>
        </w:rPr>
      </w:pPr>
      <w:r>
        <w:rPr>
          <w:rFonts w:hint="eastAsia" w:ascii="黑体" w:eastAsia="黑体"/>
          <w:sz w:val="32"/>
          <w:szCs w:val="32"/>
        </w:rPr>
        <w:t>三、预算单位构成</w:t>
      </w:r>
      <w:bookmarkStart w:id="0" w:name="_GoBack"/>
      <w:bookmarkEnd w:id="0"/>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纳入本部门202</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部门</w:t>
      </w:r>
      <w:r>
        <w:rPr>
          <w:rFonts w:hint="eastAsia" w:ascii="仿宋_GB2312" w:eastAsia="仿宋_GB2312"/>
          <w:sz w:val="32"/>
          <w:szCs w:val="32"/>
        </w:rPr>
        <w:t>预算编制范围的预算单位包括1个</w:t>
      </w:r>
      <w:r>
        <w:rPr>
          <w:rFonts w:ascii="仿宋_GB2312" w:eastAsia="仿宋_GB2312"/>
          <w:sz w:val="32"/>
          <w:szCs w:val="32"/>
        </w:rPr>
        <w:t>，</w:t>
      </w:r>
      <w:r>
        <w:rPr>
          <w:rFonts w:hint="eastAsia" w:ascii="仿宋_GB2312" w:hAnsi="黑体" w:eastAsia="仿宋_GB2312"/>
          <w:sz w:val="32"/>
          <w:szCs w:val="32"/>
          <w:shd w:val="clear" w:color="auto" w:fill="FFFFFF"/>
        </w:rPr>
        <w:t>李沧检察院</w:t>
      </w:r>
      <w:r>
        <w:rPr>
          <w:rFonts w:hint="eastAsia" w:ascii="仿宋_GB2312" w:eastAsia="仿宋_GB2312"/>
          <w:sz w:val="32"/>
          <w:szCs w:val="32"/>
        </w:rPr>
        <w:t>本级。</w:t>
      </w:r>
      <w:r>
        <w:rPr>
          <w:rFonts w:hint="eastAsia" w:ascii="仿宋_GB2312" w:hAnsi="黑体" w:eastAsia="仿宋_GB2312"/>
          <w:sz w:val="32"/>
          <w:szCs w:val="32"/>
          <w:shd w:val="clear" w:color="auto" w:fill="FFFFFF"/>
        </w:rPr>
        <w:t>李沧检察院为一级预算单位，</w:t>
      </w:r>
      <w:r>
        <w:rPr>
          <w:rFonts w:hint="eastAsia" w:ascii="仿宋_GB2312" w:hAnsi="仿宋" w:eastAsia="仿宋_GB2312" w:cs="Arial"/>
          <w:sz w:val="32"/>
          <w:szCs w:val="32"/>
          <w:shd w:val="clear" w:color="auto" w:fill="FFFFFF"/>
        </w:rPr>
        <w:t>下设机关服务中心，为自收自支事业单位，不独立核算。</w:t>
      </w:r>
    </w:p>
    <w:p>
      <w:pPr>
        <w:rPr>
          <w:rFonts w:ascii="仿宋_GB2312" w:hAnsi="宋体" w:eastAsia="仿宋_GB2312" w:cs="Courier New"/>
          <w:sz w:val="32"/>
          <w:szCs w:val="3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jc w:val="center"/>
        <w:rPr>
          <w:rFonts w:hint="eastAsia" w:ascii="黑体" w:eastAsia="黑体"/>
          <w:sz w:val="52"/>
          <w:szCs w:val="52"/>
        </w:rPr>
      </w:pPr>
      <w:r>
        <w:rPr>
          <w:rFonts w:hint="eastAsia" w:ascii="黑体" w:eastAsia="黑体"/>
          <w:sz w:val="52"/>
          <w:szCs w:val="52"/>
        </w:rPr>
        <w:t>2021年部门预算表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一、2021年单位收支总表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二、2021年单位收入总表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三、2021年单位支出总表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四、2021年财政拨款收支总表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五、2021年一般公共预算支出表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六、2021年一般公共预算基本支出表（部门经济分类）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七、2021年一般公共预算基本支出表（政府经济分类）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八、2021年政府性基金预算支出表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九、2021年单位“三公”经费预算表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十、2021年政府采购预算表</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十一、</w:t>
      </w:r>
      <w:r>
        <w:rPr>
          <w:rFonts w:hint="eastAsia" w:ascii="仿宋_GB2312" w:hAnsi="仿宋_GB2312" w:eastAsia="仿宋_GB2312" w:cs="仿宋_GB2312"/>
          <w:sz w:val="32"/>
          <w:szCs w:val="32"/>
        </w:rPr>
        <w:t>2021年政府采购预算表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十二、2021年政府购买服务预算表</w:t>
      </w:r>
    </w:p>
    <w:p>
      <w:pPr>
        <w:ind w:firstLine="640" w:firstLineChars="200"/>
        <w:rPr>
          <w:rFonts w:hint="eastAsia" w:ascii="仿宋_GB2312" w:hAnsi="仿宋_GB2312" w:eastAsia="仿宋_GB2312" w:cs="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详情请见附件1：2021年部门预算公开表（区检察院）</w:t>
      </w:r>
    </w:p>
    <w:p>
      <w:pPr>
        <w:spacing w:line="560" w:lineRule="exact"/>
        <w:ind w:firstLine="640" w:firstLineChars="200"/>
        <w:rPr>
          <w:rFonts w:ascii="仿宋_GB2312" w:hAnsi="仿宋_GB2312" w:eastAsia="仿宋_GB2312" w:cs="仿宋_GB2312"/>
          <w:sz w:val="32"/>
          <w:szCs w:val="32"/>
        </w:rPr>
      </w:pPr>
    </w:p>
    <w:p>
      <w:pPr>
        <w:rPr>
          <w:rFonts w:hint="eastAsia" w:ascii="黑体" w:eastAsia="黑体"/>
          <w:sz w:val="52"/>
          <w:szCs w:val="52"/>
        </w:rPr>
      </w:pPr>
    </w:p>
    <w:p>
      <w:pPr>
        <w:rPr>
          <w:rFonts w:hint="eastAsia"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第三部分</w:t>
      </w:r>
    </w:p>
    <w:p>
      <w:pPr>
        <w:ind w:left="277" w:leftChars="8" w:hanging="260" w:hangingChars="50"/>
        <w:jc w:val="center"/>
        <w:rPr>
          <w:rFonts w:ascii="黑体" w:eastAsia="黑体"/>
          <w:sz w:val="52"/>
          <w:szCs w:val="52"/>
        </w:rPr>
      </w:pPr>
      <w:r>
        <w:rPr>
          <w:rFonts w:hint="eastAsia" w:ascii="黑体" w:eastAsia="黑体"/>
          <w:sz w:val="52"/>
          <w:szCs w:val="52"/>
        </w:rPr>
        <w:t>2021年部门预算情况和</w:t>
      </w:r>
    </w:p>
    <w:p>
      <w:pPr>
        <w:ind w:left="277" w:leftChars="8" w:hanging="260" w:hangingChars="50"/>
        <w:jc w:val="center"/>
        <w:rPr>
          <w:rFonts w:ascii="黑体" w:eastAsia="黑体"/>
          <w:sz w:val="52"/>
          <w:szCs w:val="52"/>
        </w:rPr>
      </w:pPr>
      <w:r>
        <w:rPr>
          <w:rFonts w:hint="eastAsia" w:ascii="黑体" w:eastAsia="黑体"/>
          <w:sz w:val="52"/>
          <w:szCs w:val="52"/>
        </w:rPr>
        <w:t>重要事项说明</w:t>
      </w:r>
    </w:p>
    <w:p>
      <w:pPr>
        <w:spacing w:line="580" w:lineRule="exact"/>
        <w:ind w:firstLine="640" w:firstLineChars="200"/>
        <w:rPr>
          <w:rFonts w:ascii="黑体" w:eastAsia="黑体"/>
          <w:sz w:val="32"/>
          <w:szCs w:val="32"/>
        </w:rPr>
      </w:pPr>
      <w:r>
        <w:rPr>
          <w:rFonts w:hint="eastAsia" w:ascii="黑体" w:eastAsia="黑体"/>
          <w:sz w:val="32"/>
          <w:szCs w:val="32"/>
        </w:rPr>
        <w:t>一、预算收支增减变化情况说明</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（一）2021年收支预算总体情况说明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2021年收入预算为3717.49万元，其中，财政拨款3717.49万元，占100％。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2021年支出预算为3717.49万元，其中，人员经费支出1946.37万元，占52.36％；日常公用经费支出246.73万元，占6.64％，专项经费支出1524.39万元，占41%。</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（二）2021年财政拨款收入支出预算总体情况说明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2021年财政拨款收支预算3717.49万元，与2020年相比，</w:t>
      </w:r>
      <w:r>
        <w:rPr>
          <w:rFonts w:hint="eastAsia" w:ascii="仿宋_GB2312" w:hAnsi="仿宋_GB2312" w:eastAsia="仿宋_GB2312" w:cs="仿宋_GB2312"/>
          <w:sz w:val="32"/>
          <w:szCs w:val="32"/>
          <w:shd w:val="clear" w:color="auto" w:fill="FFFFFF"/>
        </w:rPr>
        <w:t>财政拨款收支预算增加313.18万元，</w:t>
      </w:r>
      <w:r>
        <w:rPr>
          <w:rFonts w:hint="eastAsia" w:ascii="仿宋_GB2312" w:eastAsia="仿宋_GB2312"/>
          <w:sz w:val="32"/>
          <w:szCs w:val="32"/>
        </w:rPr>
        <w:t>增加9.2％</w:t>
      </w:r>
      <w:r>
        <w:rPr>
          <w:rFonts w:hint="eastAsia" w:ascii="仿宋_GB2312" w:hAnsi="仿宋_GB2312" w:eastAsia="仿宋_GB2312" w:cs="仿宋_GB2312"/>
          <w:sz w:val="32"/>
          <w:szCs w:val="32"/>
        </w:rPr>
        <w:t>。主要原因是</w:t>
      </w:r>
      <w:r>
        <w:rPr>
          <w:rFonts w:hint="eastAsia" w:ascii="仿宋_GB2312" w:hAnsi="仿宋" w:eastAsia="仿宋_GB2312" w:cs="Arial"/>
          <w:sz w:val="32"/>
          <w:szCs w:val="32"/>
          <w:shd w:val="clear" w:color="auto" w:fill="FFFFFF"/>
        </w:rPr>
        <w:t>部分项目预算指标由年中下达改为年初下达</w:t>
      </w:r>
      <w:r>
        <w:rPr>
          <w:rFonts w:hint="eastAsia" w:ascii="仿宋_GB2312" w:hAnsi="仿宋_GB2312" w:eastAsia="仿宋_GB2312" w:cs="仿宋_GB2312"/>
          <w:sz w:val="32"/>
          <w:szCs w:val="32"/>
          <w:shd w:val="clear" w:color="auto" w:fill="FFFFFF"/>
        </w:rPr>
        <w:t>。</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（三）2021年政府性基金预算收支情况</w:t>
      </w:r>
    </w:p>
    <w:p>
      <w:pPr>
        <w:spacing w:line="580" w:lineRule="exact"/>
        <w:ind w:firstLine="640" w:firstLineChars="200"/>
        <w:rPr>
          <w:rFonts w:ascii="仿宋_GB2312" w:hAnsi="楷体_GB2312" w:eastAsia="仿宋_GB2312" w:cs="楷体_GB2312"/>
          <w:sz w:val="32"/>
          <w:szCs w:val="32"/>
        </w:rPr>
      </w:pPr>
      <w:r>
        <w:rPr>
          <w:rFonts w:hint="eastAsia" w:ascii="仿宋_GB2312" w:hAnsi="宋体" w:eastAsia="仿宋_GB2312" w:cs="Courier New"/>
          <w:sz w:val="32"/>
          <w:szCs w:val="32"/>
        </w:rPr>
        <w:t>李沧区检察院2021年没有政府性基金预算拨款安排的收入，也没有使用政府性基金预算拨款安排的支出。</w:t>
      </w:r>
    </w:p>
    <w:p>
      <w:pPr>
        <w:spacing w:line="580" w:lineRule="exact"/>
        <w:ind w:firstLine="640" w:firstLineChars="200"/>
        <w:rPr>
          <w:rFonts w:ascii="黑体" w:eastAsia="黑体"/>
          <w:sz w:val="32"/>
          <w:szCs w:val="32"/>
        </w:rPr>
      </w:pPr>
      <w:r>
        <w:rPr>
          <w:rFonts w:hint="eastAsia" w:ascii="黑体" w:eastAsia="黑体"/>
          <w:sz w:val="32"/>
          <w:szCs w:val="32"/>
        </w:rPr>
        <w:t>二、机关运行经费情况</w:t>
      </w:r>
    </w:p>
    <w:p>
      <w:pPr>
        <w:spacing w:line="580" w:lineRule="exact"/>
        <w:ind w:firstLine="601"/>
        <w:rPr>
          <w:rFonts w:ascii="仿宋_GB2312" w:eastAsia="仿宋_GB2312"/>
          <w:sz w:val="32"/>
          <w:szCs w:val="32"/>
        </w:rPr>
      </w:pPr>
      <w:r>
        <w:rPr>
          <w:rFonts w:hint="eastAsia" w:ascii="仿宋_GB2312" w:eastAsia="仿宋_GB2312"/>
          <w:sz w:val="32"/>
          <w:szCs w:val="32"/>
        </w:rPr>
        <w:t>2021年本部门机关运行经费财政拨款预算246.73万元，比2020年减少33.02万元，降低11.8%。主要原因是：严格贯彻落实中央八项规定精神，厉行节约，每年节省公用经费支出5%-10%，</w:t>
      </w:r>
      <w:r>
        <w:rPr>
          <w:rFonts w:hint="eastAsia" w:ascii="仿宋_GB2312" w:hAnsi="仿宋" w:eastAsia="仿宋_GB2312"/>
          <w:sz w:val="32"/>
          <w:szCs w:val="32"/>
        </w:rPr>
        <w:t>机关运行经费支出预算减少</w:t>
      </w:r>
      <w:r>
        <w:rPr>
          <w:rFonts w:hint="eastAsia" w:ascii="仿宋_GB2312" w:eastAsia="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它费用。）</w:t>
      </w:r>
    </w:p>
    <w:p>
      <w:pPr>
        <w:spacing w:line="580" w:lineRule="exact"/>
        <w:ind w:firstLine="640" w:firstLineChars="200"/>
        <w:rPr>
          <w:rFonts w:ascii="黑体" w:eastAsia="黑体"/>
          <w:sz w:val="32"/>
          <w:szCs w:val="32"/>
        </w:rPr>
      </w:pPr>
      <w:r>
        <w:rPr>
          <w:rFonts w:hint="eastAsia" w:ascii="黑体" w:eastAsia="黑体"/>
          <w:sz w:val="32"/>
          <w:szCs w:val="32"/>
        </w:rPr>
        <w:t>三、“三公”经费增减变化情况说明</w:t>
      </w:r>
    </w:p>
    <w:p>
      <w:p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2021年，财政拨款安排的“三公”经费预算共41.62万元，比2020年减少0.09万元，下降0.22％。其中：因公出国（境）经费0万元，</w:t>
      </w:r>
      <w:r>
        <w:rPr>
          <w:rFonts w:hint="eastAsia" w:ascii="仿宋_GB2312" w:eastAsia="仿宋_GB2312"/>
          <w:sz w:val="32"/>
          <w:szCs w:val="32"/>
        </w:rPr>
        <w:t>与2020年相比无变化</w:t>
      </w:r>
      <w:r>
        <w:rPr>
          <w:rFonts w:hint="eastAsia" w:ascii="仿宋_GB2312" w:hAnsi="仿宋_GB2312" w:eastAsia="仿宋_GB2312" w:cs="仿宋_GB2312"/>
          <w:sz w:val="32"/>
          <w:szCs w:val="32"/>
        </w:rPr>
        <w:t>，主要原因是我院无因公出国（境）支出，该经费主要用于单位公务出国的国际旅费、国外城市间交通费、住宿费、伙食费、培训费、公杂费等支出；公务用车购置经费预算共0万元，与2020年持平，主要原因无购车计划，</w:t>
      </w:r>
      <w:r>
        <w:rPr>
          <w:rFonts w:hint="eastAsia" w:ascii="仿宋_GB2312" w:eastAsia="仿宋_GB2312"/>
          <w:sz w:val="32"/>
          <w:szCs w:val="32"/>
        </w:rPr>
        <w:t>该费用主要用于公务用车购置</w:t>
      </w:r>
      <w:r>
        <w:rPr>
          <w:rFonts w:hint="eastAsia" w:ascii="仿宋_GB2312" w:hAnsi="仿宋_GB2312" w:eastAsia="仿宋_GB2312" w:cs="仿宋_GB2312"/>
          <w:sz w:val="32"/>
          <w:szCs w:val="32"/>
        </w:rPr>
        <w:t>。公务用车运行维护费40万元，与2020年持平，主要原因是</w:t>
      </w:r>
      <w:r>
        <w:rPr>
          <w:rFonts w:hint="eastAsia" w:ascii="仿宋_GB2312" w:eastAsia="仿宋_GB2312"/>
          <w:sz w:val="32"/>
          <w:szCs w:val="32"/>
        </w:rPr>
        <w:t>根据上年支出做公务用车运行维护费预算</w:t>
      </w:r>
      <w:r>
        <w:rPr>
          <w:rFonts w:hint="eastAsia" w:ascii="仿宋_GB2312" w:hAnsi="仿宋_GB2312" w:eastAsia="仿宋_GB2312" w:cs="仿宋_GB2312"/>
          <w:sz w:val="32"/>
          <w:szCs w:val="32"/>
        </w:rPr>
        <w:t>，主要用于单位按规定保留的公务用车燃料费、维修费、过路过桥费、保险费、安全奖励费用等支出；公务接待费1.62万元，下降5.26％，</w:t>
      </w:r>
      <w:r>
        <w:rPr>
          <w:rFonts w:hint="eastAsia" w:ascii="仿宋_GB2312" w:eastAsia="仿宋_GB2312"/>
          <w:sz w:val="32"/>
          <w:szCs w:val="32"/>
        </w:rPr>
        <w:t>主要原因是</w:t>
      </w:r>
      <w:r>
        <w:rPr>
          <w:rFonts w:hint="eastAsia" w:ascii="仿宋_GB2312" w:hAnsi="仿宋" w:eastAsia="仿宋_GB2312"/>
          <w:sz w:val="32"/>
          <w:szCs w:val="32"/>
        </w:rPr>
        <w:t>厉行节约，严格控制公务接待的支出</w:t>
      </w:r>
      <w:r>
        <w:rPr>
          <w:rFonts w:hint="eastAsia" w:ascii="仿宋_GB2312" w:eastAsia="仿宋_GB2312"/>
          <w:sz w:val="32"/>
          <w:szCs w:val="32"/>
        </w:rPr>
        <w:t>，主要用于按规定开支的公务接待支出</w:t>
      </w:r>
      <w:r>
        <w:rPr>
          <w:rFonts w:hint="eastAsia" w:ascii="仿宋_GB2312" w:hAnsi="仿宋" w:eastAsia="仿宋_GB2312"/>
          <w:sz w:val="32"/>
          <w:szCs w:val="32"/>
        </w:rPr>
        <w:t>。</w:t>
      </w:r>
    </w:p>
    <w:p>
      <w:pPr>
        <w:spacing w:line="580" w:lineRule="exact"/>
        <w:ind w:firstLine="640" w:firstLineChars="200"/>
        <w:rPr>
          <w:rFonts w:ascii="黑体" w:eastAsia="黑体"/>
          <w:sz w:val="32"/>
          <w:szCs w:val="32"/>
        </w:rPr>
      </w:pPr>
      <w:r>
        <w:rPr>
          <w:rFonts w:hint="eastAsia" w:ascii="黑体" w:eastAsia="黑体"/>
          <w:sz w:val="32"/>
          <w:szCs w:val="32"/>
        </w:rPr>
        <w:t>四、政府采购安排情况说明</w:t>
      </w:r>
    </w:p>
    <w:p>
      <w:p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2021年本部门政府采购金额891.43万元，其中：政府采购货物金额511.13万元、政府采购工程类金额0万元、政府采购服务金额380.3万元。</w:t>
      </w:r>
    </w:p>
    <w:p>
      <w:pPr>
        <w:spacing w:line="580" w:lineRule="exact"/>
        <w:ind w:firstLine="640" w:firstLineChars="200"/>
        <w:rPr>
          <w:rFonts w:ascii="黑体" w:eastAsia="黑体"/>
          <w:sz w:val="32"/>
          <w:szCs w:val="32"/>
        </w:rPr>
      </w:pPr>
      <w:r>
        <w:rPr>
          <w:rFonts w:hint="eastAsia" w:ascii="黑体" w:eastAsia="黑体"/>
          <w:sz w:val="32"/>
          <w:szCs w:val="32"/>
        </w:rPr>
        <w:t>五、国有资产占用情况说明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截至2020年12月31日，本部门房屋及建筑物共计0万元，共有车辆13辆，其中，公务用车9辆、特种专业技术用车4辆。</w:t>
      </w:r>
    </w:p>
    <w:p>
      <w:pPr>
        <w:spacing w:line="580" w:lineRule="exact"/>
        <w:ind w:firstLine="640" w:firstLineChars="200"/>
        <w:rPr>
          <w:rFonts w:ascii="黑体" w:eastAsia="黑体"/>
          <w:sz w:val="32"/>
          <w:szCs w:val="32"/>
        </w:rPr>
      </w:pPr>
      <w:r>
        <w:rPr>
          <w:rFonts w:hint="eastAsia" w:ascii="黑体" w:eastAsia="黑体"/>
          <w:sz w:val="32"/>
          <w:szCs w:val="32"/>
        </w:rPr>
        <w:t>六、重点项目预算的绩效目标等预算绩效情况说明</w:t>
      </w:r>
    </w:p>
    <w:p>
      <w:pPr>
        <w:spacing w:line="580" w:lineRule="exact"/>
        <w:ind w:firstLine="640" w:firstLineChars="200"/>
        <w:rPr>
          <w:rFonts w:ascii="仿宋_GB2312" w:hAnsi="宋体" w:eastAsia="仿宋_GB2312" w:cs="Courier New"/>
          <w:sz w:val="32"/>
          <w:szCs w:val="32"/>
        </w:rPr>
      </w:pPr>
      <w:r>
        <w:rPr>
          <w:rFonts w:hint="eastAsia" w:ascii="仿宋_GB2312" w:hAnsi="黑体" w:eastAsia="仿宋_GB2312"/>
          <w:bCs/>
          <w:sz w:val="32"/>
          <w:szCs w:val="32"/>
        </w:rPr>
        <w:t>2021年，</w:t>
      </w:r>
      <w:r>
        <w:rPr>
          <w:rFonts w:hint="eastAsia" w:ascii="仿宋_GB2312" w:hAnsi="宋体" w:eastAsia="仿宋_GB2312" w:cs="Courier New"/>
          <w:sz w:val="32"/>
          <w:szCs w:val="32"/>
        </w:rPr>
        <w:t>李沧检察院实行绩效目标管理的项目共11个，涉及财政拨款1524.39万元，绩效目标设置情况是：</w:t>
      </w:r>
    </w:p>
    <w:p>
      <w:pPr>
        <w:spacing w:line="58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1.</w:t>
      </w:r>
      <w:r>
        <w:rPr>
          <w:rFonts w:ascii="仿宋_GB2312" w:hAnsi="宋体" w:eastAsia="仿宋_GB2312" w:cs="Courier New"/>
          <w:sz w:val="32"/>
          <w:szCs w:val="32"/>
        </w:rPr>
        <w:t xml:space="preserve"> 办案业务经费</w:t>
      </w:r>
    </w:p>
    <w:tbl>
      <w:tblPr>
        <w:tblStyle w:val="7"/>
        <w:tblW w:w="5000" w:type="pct"/>
        <w:tblInd w:w="0" w:type="dxa"/>
        <w:tblLayout w:type="fixed"/>
        <w:tblCellMar>
          <w:top w:w="0" w:type="dxa"/>
          <w:left w:w="108" w:type="dxa"/>
          <w:bottom w:w="0" w:type="dxa"/>
          <w:right w:w="108" w:type="dxa"/>
        </w:tblCellMar>
      </w:tblPr>
      <w:tblGrid>
        <w:gridCol w:w="674"/>
        <w:gridCol w:w="1277"/>
        <w:gridCol w:w="1861"/>
        <w:gridCol w:w="1400"/>
        <w:gridCol w:w="372"/>
        <w:gridCol w:w="1549"/>
        <w:gridCol w:w="1395"/>
      </w:tblGrid>
      <w:tr>
        <w:tblPrEx>
          <w:tblCellMar>
            <w:top w:w="0" w:type="dxa"/>
            <w:left w:w="108" w:type="dxa"/>
            <w:bottom w:w="0" w:type="dxa"/>
            <w:right w:w="108" w:type="dxa"/>
          </w:tblCellMar>
        </w:tblPrEx>
        <w:trPr>
          <w:trHeight w:val="220" w:hRule="atLeast"/>
        </w:trPr>
        <w:tc>
          <w:tcPr>
            <w:tcW w:w="5000" w:type="pct"/>
            <w:gridSpan w:val="7"/>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trHeight w:val="129" w:hRule="atLeast"/>
        </w:trPr>
        <w:tc>
          <w:tcPr>
            <w:tcW w:w="5000" w:type="pct"/>
            <w:gridSpan w:val="7"/>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149" w:hRule="atLeast"/>
        </w:trPr>
        <w:tc>
          <w:tcPr>
            <w:tcW w:w="2234" w:type="pct"/>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1947" w:type="pct"/>
            <w:gridSpan w:val="3"/>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819" w:type="pct"/>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149" w:hRule="atLeast"/>
        </w:trPr>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3857"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20203778-办案业务经费</w:t>
            </w:r>
          </w:p>
        </w:tc>
      </w:tr>
      <w:tr>
        <w:tblPrEx>
          <w:tblCellMar>
            <w:top w:w="0" w:type="dxa"/>
            <w:left w:w="108" w:type="dxa"/>
            <w:bottom w:w="0" w:type="dxa"/>
            <w:right w:w="108" w:type="dxa"/>
          </w:tblCellMar>
        </w:tblPrEx>
        <w:trPr>
          <w:trHeight w:val="258" w:hRule="atLeast"/>
        </w:trPr>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12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90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r>
      <w:tr>
        <w:tblPrEx>
          <w:tblCellMar>
            <w:top w:w="0" w:type="dxa"/>
            <w:left w:w="108" w:type="dxa"/>
            <w:bottom w:w="0" w:type="dxa"/>
            <w:right w:w="108" w:type="dxa"/>
          </w:tblCellMar>
        </w:tblPrEx>
        <w:trPr>
          <w:trHeight w:val="149" w:hRule="atLeast"/>
        </w:trPr>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12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90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r>
      <w:tr>
        <w:tblPrEx>
          <w:tblCellMar>
            <w:top w:w="0" w:type="dxa"/>
            <w:left w:w="108" w:type="dxa"/>
            <w:bottom w:w="0" w:type="dxa"/>
            <w:right w:w="108" w:type="dxa"/>
          </w:tblCellMar>
        </w:tblPrEx>
        <w:trPr>
          <w:trHeight w:val="258" w:hRule="atLeast"/>
        </w:trPr>
        <w:tc>
          <w:tcPr>
            <w:tcW w:w="11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1912"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21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0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819" w:type="pct"/>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70.00</w:t>
            </w:r>
          </w:p>
        </w:tc>
      </w:tr>
      <w:tr>
        <w:tblPrEx>
          <w:tblCellMar>
            <w:top w:w="0" w:type="dxa"/>
            <w:left w:w="108" w:type="dxa"/>
            <w:bottom w:w="0" w:type="dxa"/>
            <w:right w:w="108" w:type="dxa"/>
          </w:tblCellMar>
        </w:tblPrEx>
        <w:trPr>
          <w:trHeight w:val="129" w:hRule="atLeast"/>
        </w:trPr>
        <w:tc>
          <w:tcPr>
            <w:tcW w:w="1143"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912"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21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0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819" w:type="pct"/>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70.00</w:t>
            </w:r>
          </w:p>
        </w:tc>
      </w:tr>
      <w:tr>
        <w:tblPrEx>
          <w:tblCellMar>
            <w:top w:w="0" w:type="dxa"/>
            <w:left w:w="108" w:type="dxa"/>
            <w:bottom w:w="0" w:type="dxa"/>
            <w:right w:w="108" w:type="dxa"/>
          </w:tblCellMar>
        </w:tblPrEx>
        <w:trPr>
          <w:trHeight w:val="129" w:hRule="atLeast"/>
        </w:trPr>
        <w:tc>
          <w:tcPr>
            <w:tcW w:w="1143"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912"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21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0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819" w:type="pct"/>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465" w:hRule="atLeast"/>
        </w:trPr>
        <w:tc>
          <w:tcPr>
            <w:tcW w:w="39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605"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保障我院检察办案业务经费支出，如与办案有关的差旅业务、培训业务、办案设备等。保障我院办案的最基本业务支出，保障我院办案最基本工作内容及效率。</w:t>
            </w:r>
          </w:p>
        </w:tc>
      </w:tr>
      <w:tr>
        <w:tblPrEx>
          <w:tblCellMar>
            <w:top w:w="0" w:type="dxa"/>
            <w:left w:w="108" w:type="dxa"/>
            <w:bottom w:w="0" w:type="dxa"/>
            <w:right w:w="108" w:type="dxa"/>
          </w:tblCellMar>
        </w:tblPrEx>
        <w:trPr>
          <w:trHeight w:val="426" w:hRule="atLeast"/>
        </w:trPr>
        <w:tc>
          <w:tcPr>
            <w:tcW w:w="39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605"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保障我院检察办案业务经费支出，如与办案有关的差旅业务、培训业务、办案设备等。保障我院办案的最基本业务支出，保障我院办案最基本工作内容及效率。</w:t>
            </w:r>
          </w:p>
        </w:tc>
      </w:tr>
      <w:tr>
        <w:tblPrEx>
          <w:tblCellMar>
            <w:top w:w="0" w:type="dxa"/>
            <w:left w:w="108" w:type="dxa"/>
            <w:bottom w:w="0" w:type="dxa"/>
            <w:right w:w="108" w:type="dxa"/>
          </w:tblCellMar>
        </w:tblPrEx>
        <w:trPr>
          <w:trHeight w:val="129" w:hRule="atLeast"/>
        </w:trPr>
        <w:tc>
          <w:tcPr>
            <w:tcW w:w="395"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749" w:type="pct"/>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091" w:type="pct"/>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821" w:type="pct"/>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125" w:type="pct"/>
            <w:gridSpan w:val="2"/>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819" w:type="pct"/>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支出数量</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支出质量</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支出时效</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每月</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支出成本</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2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是否保障干警办案经济支出</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84"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是否有利于提升司法公信力</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26"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58"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资金支付满意度</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≥98分</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58"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49"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09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821"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干警对资金保障满意度</w:t>
            </w:r>
          </w:p>
        </w:tc>
        <w:tc>
          <w:tcPr>
            <w:tcW w:w="112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≥98分</w:t>
            </w:r>
          </w:p>
        </w:tc>
        <w:tc>
          <w:tcPr>
            <w:tcW w:w="81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bl>
    <w:p>
      <w:pPr>
        <w:spacing w:line="580" w:lineRule="exact"/>
        <w:ind w:firstLine="640" w:firstLineChars="200"/>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2.</w:t>
      </w:r>
      <w:r>
        <w:rPr>
          <w:rFonts w:hint="eastAsia"/>
        </w:rPr>
        <w:t xml:space="preserve"> </w:t>
      </w:r>
      <w:r>
        <w:rPr>
          <w:rFonts w:hint="eastAsia" w:ascii="仿宋_GB2312" w:hAnsi="宋体" w:eastAsia="仿宋_GB2312" w:cs="Courier New"/>
          <w:sz w:val="32"/>
          <w:szCs w:val="32"/>
        </w:rPr>
        <w:t>办公大楼运转经费</w:t>
      </w:r>
    </w:p>
    <w:tbl>
      <w:tblPr>
        <w:tblStyle w:val="7"/>
        <w:tblW w:w="5000" w:type="pct"/>
        <w:tblInd w:w="0" w:type="dxa"/>
        <w:tblLayout w:type="fixed"/>
        <w:tblCellMar>
          <w:top w:w="0" w:type="dxa"/>
          <w:left w:w="108" w:type="dxa"/>
          <w:bottom w:w="0" w:type="dxa"/>
          <w:right w:w="108" w:type="dxa"/>
        </w:tblCellMar>
      </w:tblPr>
      <w:tblGrid>
        <w:gridCol w:w="1096"/>
        <w:gridCol w:w="1135"/>
        <w:gridCol w:w="178"/>
        <w:gridCol w:w="1431"/>
        <w:gridCol w:w="1042"/>
        <w:gridCol w:w="184"/>
        <w:gridCol w:w="1561"/>
        <w:gridCol w:w="1665"/>
        <w:gridCol w:w="236"/>
      </w:tblGrid>
      <w:tr>
        <w:tblPrEx>
          <w:tblCellMar>
            <w:top w:w="0" w:type="dxa"/>
            <w:left w:w="108" w:type="dxa"/>
            <w:bottom w:w="0" w:type="dxa"/>
            <w:right w:w="108" w:type="dxa"/>
          </w:tblCellMar>
        </w:tblPrEx>
        <w:trPr>
          <w:gridAfter w:val="1"/>
          <w:wAfter w:w="138" w:type="pct"/>
          <w:trHeight w:val="510" w:hRule="atLeast"/>
        </w:trPr>
        <w:tc>
          <w:tcPr>
            <w:tcW w:w="4862" w:type="pct"/>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138" w:type="pct"/>
          <w:trHeight w:val="300" w:hRule="atLeast"/>
        </w:trPr>
        <w:tc>
          <w:tcPr>
            <w:tcW w:w="4862" w:type="pct"/>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2253" w:type="pct"/>
            <w:gridSpan w:val="4"/>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2609" w:type="pct"/>
            <w:gridSpan w:val="4"/>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138" w:type="pct"/>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1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3552"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20203781-</w:t>
            </w:r>
            <w:r>
              <w:rPr>
                <w:rFonts w:hint="eastAsia" w:ascii="宋体" w:hAnsi="宋体" w:cs="Calibri"/>
                <w:color w:val="000000"/>
                <w:kern w:val="0"/>
                <w:sz w:val="22"/>
                <w:szCs w:val="22"/>
              </w:rPr>
              <w:t>办公大楼运转经费</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1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15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02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1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15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02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13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15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02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120.00</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13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5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02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120.00</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13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55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02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64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219"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保障我院办公大楼正常运行。水费、电费、物业费、大楼维修费、大楼日用品、电梯空调维护费等与大楼运转相关经费。</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90" w:hRule="atLeast"/>
        </w:trPr>
        <w:tc>
          <w:tcPr>
            <w:tcW w:w="64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219"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保障我院办公大楼正常运行。水费、电费、物业费、大楼维修费、大楼日用品、电梯空调维护费等与大楼运转相关经费。</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64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771" w:type="pct"/>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839" w:type="pct"/>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719" w:type="pct"/>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915" w:type="pct"/>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975" w:type="pct"/>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支出数量</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支出质量</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好</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是否本年</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支出成本</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节能减排</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保障大楼工作满意度</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100分</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643"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77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71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干警对大楼服务满意度</w:t>
            </w:r>
          </w:p>
        </w:tc>
        <w:tc>
          <w:tcPr>
            <w:tcW w:w="91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100分</w:t>
            </w:r>
          </w:p>
        </w:tc>
        <w:tc>
          <w:tcPr>
            <w:tcW w:w="975"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3.大楼建设项目</w:t>
      </w:r>
    </w:p>
    <w:tbl>
      <w:tblPr>
        <w:tblStyle w:val="7"/>
        <w:tblW w:w="8408" w:type="dxa"/>
        <w:tblInd w:w="91" w:type="dxa"/>
        <w:tblLayout w:type="autofit"/>
        <w:tblCellMar>
          <w:top w:w="0" w:type="dxa"/>
          <w:left w:w="108" w:type="dxa"/>
          <w:bottom w:w="0" w:type="dxa"/>
          <w:right w:w="108" w:type="dxa"/>
        </w:tblCellMar>
      </w:tblPr>
      <w:tblGrid>
        <w:gridCol w:w="947"/>
        <w:gridCol w:w="1152"/>
        <w:gridCol w:w="1474"/>
        <w:gridCol w:w="1176"/>
        <w:gridCol w:w="797"/>
        <w:gridCol w:w="1116"/>
        <w:gridCol w:w="159"/>
        <w:gridCol w:w="1351"/>
        <w:gridCol w:w="236"/>
      </w:tblGrid>
      <w:tr>
        <w:tblPrEx>
          <w:tblCellMar>
            <w:top w:w="0" w:type="dxa"/>
            <w:left w:w="108" w:type="dxa"/>
            <w:bottom w:w="0" w:type="dxa"/>
            <w:right w:w="108" w:type="dxa"/>
          </w:tblCellMar>
        </w:tblPrEx>
        <w:trPr>
          <w:gridAfter w:val="1"/>
          <w:wAfter w:w="236" w:type="dxa"/>
          <w:trHeight w:val="510" w:hRule="atLeast"/>
        </w:trPr>
        <w:tc>
          <w:tcPr>
            <w:tcW w:w="8172" w:type="dxa"/>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236" w:type="dxa"/>
          <w:trHeight w:val="300" w:hRule="atLeast"/>
        </w:trPr>
        <w:tc>
          <w:tcPr>
            <w:tcW w:w="8172" w:type="dxa"/>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73"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599" w:type="dxa"/>
            <w:gridSpan w:val="5"/>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236"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07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20204773-</w:t>
            </w:r>
            <w:r>
              <w:rPr>
                <w:rFonts w:hint="eastAsia" w:ascii="宋体" w:hAnsi="宋体" w:cs="Calibri"/>
                <w:color w:val="000000"/>
                <w:kern w:val="0"/>
                <w:sz w:val="22"/>
                <w:szCs w:val="22"/>
              </w:rPr>
              <w:t>大楼建设项目</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65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9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51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65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9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51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65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9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5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72.00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9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65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9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5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72.00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9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65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9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51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9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2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为加强疫情防控管理安装新风系统改善会议室、办公室出风口有味道的情况，提高办公环境质量，提升办公质量和效率。</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90" w:hRule="atLeast"/>
        </w:trPr>
        <w:tc>
          <w:tcPr>
            <w:tcW w:w="9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2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为加强疫情防控管理安装新风系统改善会议室、办公室出风口有味道的情况，提高办公环境质量，提升办公质量和效率。</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947"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52"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474"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973" w:type="dxa"/>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275" w:type="dxa"/>
            <w:gridSpan w:val="2"/>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351"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支出数量</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≥25个</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新风质量</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良好以上</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建设时效</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本年</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成本目标</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是否优化环境</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是否持续优化环境五年以上</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空气质量</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良好以上</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干警对空气质量评价</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良好以上</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52"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47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27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w:t>
      </w:r>
    </w:p>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4.法律援助专项经费</w:t>
      </w:r>
    </w:p>
    <w:tbl>
      <w:tblPr>
        <w:tblStyle w:val="7"/>
        <w:tblW w:w="8431" w:type="dxa"/>
        <w:tblInd w:w="91" w:type="dxa"/>
        <w:tblLayout w:type="autofit"/>
        <w:tblCellMar>
          <w:top w:w="0" w:type="dxa"/>
          <w:left w:w="108" w:type="dxa"/>
          <w:bottom w:w="0" w:type="dxa"/>
          <w:right w:w="108" w:type="dxa"/>
        </w:tblCellMar>
      </w:tblPr>
      <w:tblGrid>
        <w:gridCol w:w="726"/>
        <w:gridCol w:w="1134"/>
        <w:gridCol w:w="219"/>
        <w:gridCol w:w="1440"/>
        <w:gridCol w:w="1460"/>
        <w:gridCol w:w="141"/>
        <w:gridCol w:w="1560"/>
        <w:gridCol w:w="1515"/>
        <w:gridCol w:w="236"/>
      </w:tblGrid>
      <w:tr>
        <w:tblPrEx>
          <w:tblCellMar>
            <w:top w:w="0" w:type="dxa"/>
            <w:left w:w="108" w:type="dxa"/>
            <w:bottom w:w="0" w:type="dxa"/>
            <w:right w:w="108" w:type="dxa"/>
          </w:tblCellMar>
        </w:tblPrEx>
        <w:trPr>
          <w:gridAfter w:val="1"/>
          <w:wAfter w:w="236" w:type="dxa"/>
          <w:trHeight w:val="510" w:hRule="atLeast"/>
        </w:trPr>
        <w:tc>
          <w:tcPr>
            <w:tcW w:w="8195" w:type="dxa"/>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236" w:type="dxa"/>
          <w:trHeight w:val="300" w:hRule="atLeast"/>
        </w:trPr>
        <w:tc>
          <w:tcPr>
            <w:tcW w:w="8195" w:type="dxa"/>
            <w:gridSpan w:val="8"/>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19" w:type="dxa"/>
            <w:gridSpan w:val="4"/>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676" w:type="dxa"/>
            <w:gridSpan w:val="4"/>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236"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1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20203769-法律援助专项经费</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9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9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9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25.00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9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25.00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9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42" w:hRule="atLeast"/>
        </w:trPr>
        <w:tc>
          <w:tcPr>
            <w:tcW w:w="72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46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促进社会公平与稳定，促进社会和谐与文明。是司法制度的内在要求，是改善民生、健全社会保障体系的重要组成部分。</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96" w:hRule="atLeast"/>
        </w:trPr>
        <w:tc>
          <w:tcPr>
            <w:tcW w:w="72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46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促进社会公平与稳定，促进社会和谐与文明。是司法制度的内在要求，是改善民生、健全社会保障体系的重要组成部分。</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2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659"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601" w:type="dxa"/>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560" w:type="dxa"/>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515"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完成司法救助件数</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≥30件</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开展在司法救助基础上多元救助</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≥20件</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积极对接主动审查按时办结</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每个工作日进行</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法治效果社会效果相统一</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每案必开展说理</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可持续影响年数</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≥3年</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救助金满意度</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5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60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司法救助服务质量满意度</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5.房屋租赁经费</w:t>
      </w:r>
    </w:p>
    <w:tbl>
      <w:tblPr>
        <w:tblStyle w:val="7"/>
        <w:tblW w:w="8445" w:type="dxa"/>
        <w:tblInd w:w="91" w:type="dxa"/>
        <w:tblLayout w:type="autofit"/>
        <w:tblCellMar>
          <w:top w:w="0" w:type="dxa"/>
          <w:left w:w="108" w:type="dxa"/>
          <w:bottom w:w="0" w:type="dxa"/>
          <w:right w:w="108" w:type="dxa"/>
        </w:tblCellMar>
      </w:tblPr>
      <w:tblGrid>
        <w:gridCol w:w="944"/>
        <w:gridCol w:w="1134"/>
        <w:gridCol w:w="1442"/>
        <w:gridCol w:w="1127"/>
        <w:gridCol w:w="1868"/>
        <w:gridCol w:w="1694"/>
        <w:gridCol w:w="236"/>
      </w:tblGrid>
      <w:tr>
        <w:tblPrEx>
          <w:tblCellMar>
            <w:top w:w="0" w:type="dxa"/>
            <w:left w:w="108" w:type="dxa"/>
            <w:bottom w:w="0" w:type="dxa"/>
            <w:right w:w="108" w:type="dxa"/>
          </w:tblCellMar>
        </w:tblPrEx>
        <w:trPr>
          <w:gridAfter w:val="1"/>
          <w:wAfter w:w="236" w:type="dxa"/>
          <w:trHeight w:val="510" w:hRule="atLeast"/>
        </w:trPr>
        <w:tc>
          <w:tcPr>
            <w:tcW w:w="8209" w:type="dxa"/>
            <w:gridSpan w:val="6"/>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236" w:type="dxa"/>
          <w:trHeight w:val="300" w:hRule="atLeast"/>
        </w:trPr>
        <w:tc>
          <w:tcPr>
            <w:tcW w:w="8209" w:type="dxa"/>
            <w:gridSpan w:val="6"/>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20"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689" w:type="dxa"/>
            <w:gridSpan w:val="3"/>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236"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13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20203772-</w:t>
            </w:r>
            <w:r>
              <w:rPr>
                <w:rFonts w:hint="eastAsia" w:ascii="宋体" w:hAnsi="宋体" w:cs="Calibri"/>
                <w:color w:val="000000"/>
                <w:kern w:val="0"/>
                <w:sz w:val="22"/>
                <w:szCs w:val="22"/>
              </w:rPr>
              <w:t>房屋租赁经费</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5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5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5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75.19</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75.19</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6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6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办公大楼房租，保障干警工作地址。</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9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6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办公大楼房租，保障干警工作地址。</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94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442"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127"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868" w:type="dxa"/>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69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支出数量</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支出质量</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好</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支出时效</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本年</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支出成本</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保障司法威严</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办公大楼满意度</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良好以上</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干警对办公大楼工作环境满意度</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良好以上</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127"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86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94"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6.服装购置经费</w:t>
      </w:r>
    </w:p>
    <w:tbl>
      <w:tblPr>
        <w:tblStyle w:val="7"/>
        <w:tblW w:w="8413" w:type="dxa"/>
        <w:tblInd w:w="91" w:type="dxa"/>
        <w:tblLayout w:type="autofit"/>
        <w:tblCellMar>
          <w:top w:w="0" w:type="dxa"/>
          <w:left w:w="108" w:type="dxa"/>
          <w:bottom w:w="0" w:type="dxa"/>
          <w:right w:w="108" w:type="dxa"/>
        </w:tblCellMar>
      </w:tblPr>
      <w:tblGrid>
        <w:gridCol w:w="944"/>
        <w:gridCol w:w="1134"/>
        <w:gridCol w:w="1439"/>
        <w:gridCol w:w="1108"/>
        <w:gridCol w:w="1863"/>
        <w:gridCol w:w="1689"/>
        <w:gridCol w:w="236"/>
      </w:tblGrid>
      <w:tr>
        <w:tblPrEx>
          <w:tblCellMar>
            <w:top w:w="0" w:type="dxa"/>
            <w:left w:w="108" w:type="dxa"/>
            <w:bottom w:w="0" w:type="dxa"/>
            <w:right w:w="108" w:type="dxa"/>
          </w:tblCellMar>
        </w:tblPrEx>
        <w:trPr>
          <w:gridAfter w:val="1"/>
          <w:wAfter w:w="236" w:type="dxa"/>
          <w:trHeight w:val="510" w:hRule="atLeast"/>
        </w:trPr>
        <w:tc>
          <w:tcPr>
            <w:tcW w:w="8177" w:type="dxa"/>
            <w:gridSpan w:val="6"/>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236" w:type="dxa"/>
          <w:trHeight w:val="300" w:hRule="atLeast"/>
        </w:trPr>
        <w:tc>
          <w:tcPr>
            <w:tcW w:w="8177" w:type="dxa"/>
            <w:gridSpan w:val="6"/>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17"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660" w:type="dxa"/>
            <w:gridSpan w:val="3"/>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236"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0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20203780-服装购置经费</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689"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7.20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689"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7.20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689" w:type="dxa"/>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3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购置服装保障检察形象。</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9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3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购置服装保障检察形象。</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94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439"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108"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863" w:type="dxa"/>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689"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套数</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≥20件</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服装质量</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好</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购置时间</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本年</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是否符合上级文件要求</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提升检察形象</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环保材料</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服装满意度</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服装服务满意度</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43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10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86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7.检查行政管理事务专项资金</w:t>
      </w:r>
    </w:p>
    <w:tbl>
      <w:tblPr>
        <w:tblStyle w:val="7"/>
        <w:tblW w:w="9560" w:type="dxa"/>
        <w:tblInd w:w="91" w:type="dxa"/>
        <w:tblLayout w:type="autofit"/>
        <w:tblCellMar>
          <w:top w:w="0" w:type="dxa"/>
          <w:left w:w="108" w:type="dxa"/>
          <w:bottom w:w="0" w:type="dxa"/>
          <w:right w:w="108" w:type="dxa"/>
        </w:tblCellMar>
      </w:tblPr>
      <w:tblGrid>
        <w:gridCol w:w="959"/>
        <w:gridCol w:w="1134"/>
        <w:gridCol w:w="1682"/>
        <w:gridCol w:w="1353"/>
        <w:gridCol w:w="222"/>
        <w:gridCol w:w="2219"/>
        <w:gridCol w:w="1991"/>
      </w:tblGrid>
      <w:tr>
        <w:tblPrEx>
          <w:tblCellMar>
            <w:top w:w="0" w:type="dxa"/>
            <w:left w:w="108" w:type="dxa"/>
            <w:bottom w:w="0" w:type="dxa"/>
            <w:right w:w="108" w:type="dxa"/>
          </w:tblCellMar>
        </w:tblPrEx>
        <w:trPr>
          <w:trHeight w:val="510" w:hRule="atLeast"/>
        </w:trPr>
        <w:tc>
          <w:tcPr>
            <w:tcW w:w="9560" w:type="dxa"/>
            <w:gridSpan w:val="7"/>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trHeight w:val="300" w:hRule="atLeast"/>
        </w:trPr>
        <w:tc>
          <w:tcPr>
            <w:tcW w:w="9560" w:type="dxa"/>
            <w:gridSpan w:val="7"/>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775"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3794" w:type="dxa"/>
            <w:gridSpan w:val="3"/>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1991"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746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20203771-检查行政管理事务专项资金</w:t>
            </w:r>
          </w:p>
        </w:tc>
      </w:tr>
      <w:tr>
        <w:tblPrEx>
          <w:tblCellMar>
            <w:top w:w="0" w:type="dxa"/>
            <w:left w:w="108" w:type="dxa"/>
            <w:bottom w:w="0" w:type="dxa"/>
            <w:right w:w="108" w:type="dxa"/>
          </w:tblCellMar>
        </w:tblPrEx>
        <w:trPr>
          <w:trHeight w:val="600" w:hRule="atLeast"/>
        </w:trPr>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324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r>
      <w:tr>
        <w:tblPrEx>
          <w:tblCellMar>
            <w:top w:w="0" w:type="dxa"/>
            <w:left w:w="108" w:type="dxa"/>
            <w:bottom w:w="0" w:type="dxa"/>
            <w:right w:w="108" w:type="dxa"/>
          </w:tblCellMar>
        </w:tblPrEx>
        <w:trPr>
          <w:trHeight w:val="345" w:hRule="atLeast"/>
        </w:trPr>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324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r>
      <w:tr>
        <w:tblPrEx>
          <w:tblCellMar>
            <w:top w:w="0" w:type="dxa"/>
            <w:left w:w="108" w:type="dxa"/>
            <w:bottom w:w="0" w:type="dxa"/>
            <w:right w:w="108" w:type="dxa"/>
          </w:tblCellMar>
        </w:tblPrEx>
        <w:trPr>
          <w:trHeight w:val="300" w:hRule="atLeast"/>
        </w:trPr>
        <w:tc>
          <w:tcPr>
            <w:tcW w:w="20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320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4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991"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300.00</w:t>
            </w:r>
          </w:p>
        </w:tc>
      </w:tr>
      <w:tr>
        <w:tblPrEx>
          <w:tblCellMar>
            <w:top w:w="0" w:type="dxa"/>
            <w:left w:w="108" w:type="dxa"/>
            <w:bottom w:w="0" w:type="dxa"/>
            <w:right w:w="108" w:type="dxa"/>
          </w:tblCellMar>
        </w:tblPrEx>
        <w:trPr>
          <w:trHeight w:val="300"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320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4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991" w:type="dxa"/>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300.00</w:t>
            </w:r>
          </w:p>
        </w:tc>
      </w:tr>
      <w:tr>
        <w:tblPrEx>
          <w:tblCellMar>
            <w:top w:w="0" w:type="dxa"/>
            <w:left w:w="108" w:type="dxa"/>
            <w:bottom w:w="0" w:type="dxa"/>
            <w:right w:w="108" w:type="dxa"/>
          </w:tblCellMar>
        </w:tblPrEx>
        <w:trPr>
          <w:trHeight w:val="300"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320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4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991" w:type="dxa"/>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1080" w:hRule="atLeast"/>
        </w:trPr>
        <w:tc>
          <w:tcPr>
            <w:tcW w:w="9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860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保障我院中心人员的工资。</w:t>
            </w:r>
          </w:p>
        </w:tc>
      </w:tr>
      <w:tr>
        <w:tblPrEx>
          <w:tblCellMar>
            <w:top w:w="0" w:type="dxa"/>
            <w:left w:w="108" w:type="dxa"/>
            <w:bottom w:w="0" w:type="dxa"/>
            <w:right w:w="108" w:type="dxa"/>
          </w:tblCellMar>
        </w:tblPrEx>
        <w:trPr>
          <w:trHeight w:val="990" w:hRule="atLeast"/>
        </w:trPr>
        <w:tc>
          <w:tcPr>
            <w:tcW w:w="9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860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保障我院中心人员的工资。</w:t>
            </w:r>
          </w:p>
        </w:tc>
      </w:tr>
      <w:tr>
        <w:tblPrEx>
          <w:tblCellMar>
            <w:top w:w="0" w:type="dxa"/>
            <w:left w:w="108" w:type="dxa"/>
            <w:bottom w:w="0" w:type="dxa"/>
            <w:right w:w="108" w:type="dxa"/>
          </w:tblCellMar>
        </w:tblPrEx>
        <w:trPr>
          <w:trHeight w:val="300" w:hRule="atLeast"/>
        </w:trPr>
        <w:tc>
          <w:tcPr>
            <w:tcW w:w="95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682"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523"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2271"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991"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300万</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是否按时发放</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干警工资满意度</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干警满意度</w:t>
            </w:r>
          </w:p>
        </w:tc>
        <w:tc>
          <w:tcPr>
            <w:tcW w:w="227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25" w:hRule="atLeast"/>
        </w:trPr>
        <w:tc>
          <w:tcPr>
            <w:tcW w:w="95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68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4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23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991"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bl>
    <w:p>
      <w:pPr>
        <w:spacing w:line="580" w:lineRule="exact"/>
        <w:rPr>
          <w:rFonts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8. 未成年人检察业务</w:t>
      </w:r>
    </w:p>
    <w:tbl>
      <w:tblPr>
        <w:tblStyle w:val="7"/>
        <w:tblW w:w="5000" w:type="pct"/>
        <w:tblInd w:w="0" w:type="dxa"/>
        <w:tblLayout w:type="fixed"/>
        <w:tblCellMar>
          <w:top w:w="0" w:type="dxa"/>
          <w:left w:w="108" w:type="dxa"/>
          <w:bottom w:w="0" w:type="dxa"/>
          <w:right w:w="108" w:type="dxa"/>
        </w:tblCellMar>
      </w:tblPr>
      <w:tblGrid>
        <w:gridCol w:w="673"/>
        <w:gridCol w:w="806"/>
        <w:gridCol w:w="326"/>
        <w:gridCol w:w="1702"/>
        <w:gridCol w:w="181"/>
        <w:gridCol w:w="73"/>
        <w:gridCol w:w="2369"/>
        <w:gridCol w:w="495"/>
        <w:gridCol w:w="993"/>
        <w:gridCol w:w="674"/>
        <w:gridCol w:w="236"/>
      </w:tblGrid>
      <w:tr>
        <w:tblPrEx>
          <w:tblCellMar>
            <w:top w:w="0" w:type="dxa"/>
            <w:left w:w="108" w:type="dxa"/>
            <w:bottom w:w="0" w:type="dxa"/>
            <w:right w:w="108" w:type="dxa"/>
          </w:tblCellMar>
        </w:tblPrEx>
        <w:trPr>
          <w:gridAfter w:val="1"/>
          <w:wAfter w:w="138" w:type="pct"/>
          <w:trHeight w:val="510" w:hRule="atLeast"/>
        </w:trPr>
        <w:tc>
          <w:tcPr>
            <w:tcW w:w="4862" w:type="pct"/>
            <w:gridSpan w:val="10"/>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138" w:type="pct"/>
          <w:trHeight w:val="300" w:hRule="atLeast"/>
        </w:trPr>
        <w:tc>
          <w:tcPr>
            <w:tcW w:w="4862" w:type="pct"/>
            <w:gridSpan w:val="10"/>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2206" w:type="pct"/>
            <w:gridSpan w:val="6"/>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2655" w:type="pct"/>
            <w:gridSpan w:val="4"/>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138" w:type="pct"/>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3993" w:type="pct"/>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20204774-</w:t>
            </w:r>
            <w:r>
              <w:rPr>
                <w:rFonts w:hint="eastAsia" w:ascii="宋体" w:hAnsi="宋体" w:cs="Calibri"/>
                <w:color w:val="000000"/>
                <w:kern w:val="0"/>
                <w:sz w:val="22"/>
                <w:szCs w:val="22"/>
              </w:rPr>
              <w:t>未成年人检察业务</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129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43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26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129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43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26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Calibri" w:hAnsi="Calibri" w:cs="Calibri"/>
                <w:color w:val="000000"/>
                <w:kern w:val="0"/>
                <w:sz w:val="22"/>
                <w:szCs w:val="22"/>
              </w:rPr>
            </w:pPr>
            <w:r>
              <w:rPr>
                <w:rFonts w:ascii="Calibri" w:hAnsi="Calibri" w:cs="Calibri"/>
                <w:color w:val="000000"/>
                <w:kern w:val="0"/>
                <w:sz w:val="22"/>
                <w:szCs w:val="22"/>
              </w:rPr>
              <w:t>项目资金</w:t>
            </w:r>
          </w:p>
          <w:p>
            <w:pPr>
              <w:widowControl/>
              <w:jc w:val="left"/>
              <w:rPr>
                <w:rFonts w:ascii="Calibri" w:hAnsi="Calibri" w:cs="Calibri"/>
                <w:color w:val="000000"/>
                <w:kern w:val="0"/>
                <w:sz w:val="22"/>
                <w:szCs w:val="22"/>
              </w:rPr>
            </w:pPr>
            <w:r>
              <w:rPr>
                <w:rFonts w:ascii="Calibri" w:hAnsi="Calibri" w:cs="Calibri"/>
                <w:color w:val="000000"/>
                <w:kern w:val="0"/>
                <w:sz w:val="22"/>
                <w:szCs w:val="22"/>
              </w:rPr>
              <w:t>（万元）</w:t>
            </w:r>
          </w:p>
        </w:tc>
        <w:tc>
          <w:tcPr>
            <w:tcW w:w="129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43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26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30.00</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29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43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26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30.00</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29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43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其他资金</w:t>
            </w:r>
          </w:p>
        </w:tc>
        <w:tc>
          <w:tcPr>
            <w:tcW w:w="1266"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545" w:hRule="atLeast"/>
        </w:trPr>
        <w:tc>
          <w:tcPr>
            <w:tcW w:w="39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466"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1.改进社会调查收集、审查方式，科学评估调查质量，解决调查报告形式化、同质化等问题，努力实现社会调查全覆盖，充分发挥社会调查在办案和帮教中的参考作用。</w:t>
            </w:r>
            <w:r>
              <w:rPr>
                <w:rFonts w:ascii="Calibri" w:hAnsi="Calibri" w:cs="Calibri"/>
                <w:color w:val="000000"/>
                <w:kern w:val="0"/>
                <w:sz w:val="22"/>
                <w:szCs w:val="22"/>
              </w:rPr>
              <w:br w:type="textWrapping"/>
            </w:r>
            <w:r>
              <w:rPr>
                <w:rFonts w:ascii="Calibri" w:hAnsi="Calibri" w:cs="Calibri"/>
                <w:color w:val="000000"/>
                <w:kern w:val="0"/>
                <w:sz w:val="22"/>
                <w:szCs w:val="22"/>
              </w:rPr>
              <w:t>2.促进涉罪未成年人帮教内容和方式多元化。引入人格甄别、心理干预等手段，提高帮教的精准度、有效性。加强未成年被害人关安救助工作，借助社会力量提供身心康复等多元综合救助。</w:t>
            </w:r>
            <w:r>
              <w:rPr>
                <w:rFonts w:ascii="Calibri" w:hAnsi="Calibri" w:cs="Calibri"/>
                <w:color w:val="000000"/>
                <w:kern w:val="0"/>
                <w:sz w:val="22"/>
                <w:szCs w:val="22"/>
              </w:rPr>
              <w:br w:type="textWrapping"/>
            </w:r>
            <w:r>
              <w:rPr>
                <w:rFonts w:ascii="Calibri" w:hAnsi="Calibri" w:cs="Calibri"/>
                <w:color w:val="000000"/>
                <w:kern w:val="0"/>
                <w:sz w:val="22"/>
                <w:szCs w:val="22"/>
              </w:rPr>
              <w:t>3.加强对附条件不起诉未成年人的考察帮教，积极开展诉前观护帮教，延伸开展不捕、相对不起诉后的跟踪帮教，把帮教贯穿刑事案件办理全过程。探索帮教工作案件化办理。</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470" w:hRule="atLeast"/>
        </w:trPr>
        <w:tc>
          <w:tcPr>
            <w:tcW w:w="39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4466"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1.改进社会调查收集、审查方式，科学评估调查质量，解决调查报告形式化、同质化等问题，努力实现社会调查全覆盖，充分发挥社会调查在办案和帮教中的参考作用。</w:t>
            </w:r>
            <w:r>
              <w:rPr>
                <w:rFonts w:ascii="Calibri" w:hAnsi="Calibri" w:cs="Calibri"/>
                <w:color w:val="000000"/>
                <w:kern w:val="0"/>
                <w:sz w:val="22"/>
                <w:szCs w:val="22"/>
              </w:rPr>
              <w:br w:type="textWrapping"/>
            </w:r>
            <w:r>
              <w:rPr>
                <w:rFonts w:ascii="Calibri" w:hAnsi="Calibri" w:cs="Calibri"/>
                <w:color w:val="000000"/>
                <w:kern w:val="0"/>
                <w:sz w:val="22"/>
                <w:szCs w:val="22"/>
              </w:rPr>
              <w:t>2.促进涉罪未成年人帮教内容和方式多元化。引入人格甄别、心理干预等手段，提高帮教的精准度、有效性。加强未成年被害人关安救助工作，借助社会力量提供身心康复等多元综合救助。</w:t>
            </w:r>
            <w:r>
              <w:rPr>
                <w:rFonts w:ascii="Calibri" w:hAnsi="Calibri" w:cs="Calibri"/>
                <w:color w:val="000000"/>
                <w:kern w:val="0"/>
                <w:sz w:val="22"/>
                <w:szCs w:val="22"/>
              </w:rPr>
              <w:br w:type="textWrapping"/>
            </w:r>
            <w:r>
              <w:rPr>
                <w:rFonts w:ascii="Calibri" w:hAnsi="Calibri" w:cs="Calibri"/>
                <w:color w:val="000000"/>
                <w:kern w:val="0"/>
                <w:sz w:val="22"/>
                <w:szCs w:val="22"/>
              </w:rPr>
              <w:t>3.加强对附条件不起诉未成年人的考察帮教，积极开展诉前观护帮教，延伸开展不捕、相对不起诉后的跟踪帮教，把帮教贯穿刑事案件办理全过程。探索帮教工作案件化办理。</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395"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664" w:type="pct"/>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998" w:type="pct"/>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828" w:type="pct"/>
            <w:gridSpan w:val="4"/>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582" w:type="pct"/>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394" w:type="pct"/>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6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社会调查、心理工作、帮教工作人次</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≥25</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专业人员运用专业工具和专业方式开展并有详细记录、报告</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≥25</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在委托期限内</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4"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6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社会效果、法治统一</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经过帮教后未成年人遵纪守法</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终身</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59"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依据委托充分、规范开展</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≥25件</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66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998"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82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被调查帮教救助对象满意</w:t>
            </w:r>
          </w:p>
        </w:tc>
        <w:tc>
          <w:tcPr>
            <w:tcW w:w="582"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≥25件</w:t>
            </w:r>
          </w:p>
        </w:tc>
        <w:tc>
          <w:tcPr>
            <w:tcW w:w="394" w:type="pct"/>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8" w:type="pct"/>
            <w:vAlign w:val="center"/>
          </w:tcPr>
          <w:p>
            <w:pPr>
              <w:widowControl/>
              <w:jc w:val="left"/>
              <w:rPr>
                <w:rFonts w:eastAsia="Times New Roman"/>
                <w:kern w:val="0"/>
                <w:sz w:val="20"/>
                <w:szCs w:val="20"/>
              </w:rPr>
            </w:pPr>
          </w:p>
        </w:tc>
      </w:tr>
    </w:tbl>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侦查监督工作经费</w:t>
      </w:r>
    </w:p>
    <w:tbl>
      <w:tblPr>
        <w:tblStyle w:val="7"/>
        <w:tblW w:w="8427" w:type="dxa"/>
        <w:tblInd w:w="91" w:type="dxa"/>
        <w:tblLayout w:type="autofit"/>
        <w:tblCellMar>
          <w:top w:w="0" w:type="dxa"/>
          <w:left w:w="108" w:type="dxa"/>
          <w:bottom w:w="0" w:type="dxa"/>
          <w:right w:w="108" w:type="dxa"/>
        </w:tblCellMar>
      </w:tblPr>
      <w:tblGrid>
        <w:gridCol w:w="943"/>
        <w:gridCol w:w="1134"/>
        <w:gridCol w:w="1442"/>
        <w:gridCol w:w="326"/>
        <w:gridCol w:w="786"/>
        <w:gridCol w:w="1056"/>
        <w:gridCol w:w="811"/>
        <w:gridCol w:w="465"/>
        <w:gridCol w:w="1228"/>
        <w:gridCol w:w="236"/>
      </w:tblGrid>
      <w:tr>
        <w:tblPrEx>
          <w:tblCellMar>
            <w:top w:w="0" w:type="dxa"/>
            <w:left w:w="108" w:type="dxa"/>
            <w:bottom w:w="0" w:type="dxa"/>
            <w:right w:w="108" w:type="dxa"/>
          </w:tblCellMar>
        </w:tblPrEx>
        <w:trPr>
          <w:gridAfter w:val="1"/>
          <w:wAfter w:w="236" w:type="dxa"/>
          <w:trHeight w:val="510" w:hRule="atLeast"/>
        </w:trPr>
        <w:tc>
          <w:tcPr>
            <w:tcW w:w="8191"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236" w:type="dxa"/>
          <w:trHeight w:val="300" w:hRule="atLeast"/>
        </w:trPr>
        <w:tc>
          <w:tcPr>
            <w:tcW w:w="8191"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19"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672" w:type="dxa"/>
            <w:gridSpan w:val="6"/>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236"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1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20203777-侦查监督工作经费</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5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8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5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8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5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8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120.00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8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70.00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8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50.00</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260" w:hRule="atLeast"/>
        </w:trPr>
        <w:tc>
          <w:tcPr>
            <w:tcW w:w="9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该专项保障我院各项检察综合业务支出，保障打造“李沧检察”、“文润沧检”、“检润民和”“以党促检”等检察品牌。同时保障我院少捕慎诉等刑事监督工作智能化，推进代表委员联络常态化，人民监督员公开听证参与化，不起诉决定公开宣告透明化等。保障检察综合业务全面化，高效化。提升司法公信力。</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185" w:hRule="atLeast"/>
        </w:trPr>
        <w:tc>
          <w:tcPr>
            <w:tcW w:w="9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该专项保障我院各项检察综合业务支出，保障打造“李沧检察”、“文润沧检”、“检润民和”“以党促检”等检察品牌。同时保障我院少捕慎诉等刑事监督工作智能化，推进代表委员联络常态化，人民监督员公开听证参与化，不起诉决定公开宣告透明化等。保障检察综合业务全面化，高效化。提升司法公信力。</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943"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768"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1842" w:type="dxa"/>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276" w:type="dxa"/>
            <w:gridSpan w:val="2"/>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1228"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全部支出</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支出质量</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≥好</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支出时效</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本年内</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支出成本</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100%</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是否良好保障检务工作</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检务保障满意度</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≥95分</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18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项目检务满意度</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≥95分</w:t>
            </w:r>
          </w:p>
        </w:tc>
        <w:tc>
          <w:tcPr>
            <w:tcW w:w="1228"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36" w:type="dxa"/>
            <w:vAlign w:val="center"/>
          </w:tcPr>
          <w:p>
            <w:pPr>
              <w:widowControl/>
              <w:jc w:val="left"/>
              <w:rPr>
                <w:rFonts w:eastAsia="Times New Roman"/>
                <w:kern w:val="0"/>
                <w:sz w:val="20"/>
                <w:szCs w:val="20"/>
              </w:rPr>
            </w:pPr>
          </w:p>
        </w:tc>
      </w:tr>
    </w:tbl>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 xml:space="preserve"> 检察文化建设项目</w:t>
      </w:r>
    </w:p>
    <w:tbl>
      <w:tblPr>
        <w:tblStyle w:val="7"/>
        <w:tblW w:w="9560" w:type="dxa"/>
        <w:tblInd w:w="91" w:type="dxa"/>
        <w:tblLayout w:type="autofit"/>
        <w:tblCellMar>
          <w:top w:w="0" w:type="dxa"/>
          <w:left w:w="108" w:type="dxa"/>
          <w:bottom w:w="0" w:type="dxa"/>
          <w:right w:w="108" w:type="dxa"/>
        </w:tblCellMar>
      </w:tblPr>
      <w:tblGrid>
        <w:gridCol w:w="944"/>
        <w:gridCol w:w="1134"/>
        <w:gridCol w:w="1442"/>
        <w:gridCol w:w="325"/>
        <w:gridCol w:w="802"/>
        <w:gridCol w:w="1607"/>
        <w:gridCol w:w="261"/>
        <w:gridCol w:w="1015"/>
        <w:gridCol w:w="679"/>
        <w:gridCol w:w="1351"/>
      </w:tblGrid>
      <w:tr>
        <w:tblPrEx>
          <w:tblCellMar>
            <w:top w:w="0" w:type="dxa"/>
            <w:left w:w="108" w:type="dxa"/>
            <w:bottom w:w="0" w:type="dxa"/>
            <w:right w:w="108" w:type="dxa"/>
          </w:tblCellMar>
        </w:tblPrEx>
        <w:trPr>
          <w:gridAfter w:val="1"/>
          <w:wAfter w:w="1351" w:type="dxa"/>
          <w:trHeight w:val="510" w:hRule="atLeast"/>
        </w:trPr>
        <w:tc>
          <w:tcPr>
            <w:tcW w:w="8209"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gridAfter w:val="1"/>
          <w:wAfter w:w="1351" w:type="dxa"/>
          <w:trHeight w:val="300" w:hRule="atLeast"/>
        </w:trPr>
        <w:tc>
          <w:tcPr>
            <w:tcW w:w="8209"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520"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4689" w:type="dxa"/>
            <w:gridSpan w:val="6"/>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1351" w:type="dxa"/>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13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20203770-检察文化建设项目</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25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18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694"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45"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25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18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694"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25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18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20.00</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8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20.00</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20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5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86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8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65"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争取获评“全国检察宣传先进单位”，在“互联网+检察”新媒体指数排名位于全省前十。加强法律宣传，提升检察司法公信力。</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90" w:hRule="atLeast"/>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265"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争取获评“全国检察宣传先进单位”，在“互联网+检察”新媒体指数排名位于全省前十。加强法律宣传，提升检察司法公信力。</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94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1767"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2409" w:type="dxa"/>
            <w:gridSpan w:val="2"/>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1276" w:type="dxa"/>
            <w:gridSpan w:val="2"/>
            <w:tcBorders>
              <w:top w:val="nil"/>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679"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宣传文稿数量</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≥300</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宣传文稿上级转发数</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≥200</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工作日</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每天</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宣传影响力提升</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全省前30</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服务经济发展稿件</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≥10件</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维护社会稳定稿件</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≥10件</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维护生态文明建设稿件</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≥10件</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促进可持续发展稿件</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≥10件</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文化宣传满意度</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≥90</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trPr>
        <w:tc>
          <w:tcPr>
            <w:tcW w:w="94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司法宣传对社会影响</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≥好</w:t>
            </w:r>
          </w:p>
        </w:tc>
        <w:tc>
          <w:tcPr>
            <w:tcW w:w="67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1351" w:type="dxa"/>
            <w:vAlign w:val="center"/>
          </w:tcPr>
          <w:p>
            <w:pPr>
              <w:widowControl/>
              <w:jc w:val="left"/>
              <w:rPr>
                <w:rFonts w:eastAsia="Times New Roman"/>
                <w:kern w:val="0"/>
                <w:sz w:val="20"/>
                <w:szCs w:val="20"/>
              </w:rPr>
            </w:pPr>
          </w:p>
        </w:tc>
      </w:tr>
    </w:tbl>
    <w:p>
      <w:pPr>
        <w:spacing w:line="580" w:lineRule="exact"/>
        <w:rPr>
          <w:rFonts w:hint="eastAsia" w:ascii="仿宋_GB2312" w:hAnsi="宋体" w:eastAsia="仿宋_GB2312" w:cs="Courier New"/>
          <w:sz w:val="32"/>
          <w:szCs w:val="32"/>
        </w:rPr>
      </w:pPr>
    </w:p>
    <w:p>
      <w:pPr>
        <w:spacing w:line="580" w:lineRule="exact"/>
        <w:rPr>
          <w:rFonts w:hint="eastAsia" w:ascii="仿宋_GB2312" w:hAnsi="宋体" w:eastAsia="仿宋_GB2312" w:cs="Courier New"/>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Calibri" w:hAnsi="Calibri" w:cs="Calibri"/>
          <w:color w:val="000000"/>
          <w:kern w:val="0"/>
          <w:sz w:val="22"/>
          <w:szCs w:val="22"/>
        </w:rPr>
        <w:t xml:space="preserve"> 检察信息化建设经费</w:t>
      </w:r>
    </w:p>
    <w:tbl>
      <w:tblPr>
        <w:tblStyle w:val="7"/>
        <w:tblW w:w="8381" w:type="dxa"/>
        <w:tblInd w:w="91" w:type="dxa"/>
        <w:tblLayout w:type="fixed"/>
        <w:tblCellMar>
          <w:top w:w="0" w:type="dxa"/>
          <w:left w:w="108" w:type="dxa"/>
          <w:bottom w:w="0" w:type="dxa"/>
          <w:right w:w="108" w:type="dxa"/>
        </w:tblCellMar>
      </w:tblPr>
      <w:tblGrid>
        <w:gridCol w:w="726"/>
        <w:gridCol w:w="1134"/>
        <w:gridCol w:w="1909"/>
        <w:gridCol w:w="76"/>
        <w:gridCol w:w="283"/>
        <w:gridCol w:w="2552"/>
        <w:gridCol w:w="890"/>
        <w:gridCol w:w="102"/>
        <w:gridCol w:w="709"/>
      </w:tblGrid>
      <w:tr>
        <w:tblPrEx>
          <w:tblCellMar>
            <w:top w:w="0" w:type="dxa"/>
            <w:left w:w="108" w:type="dxa"/>
            <w:bottom w:w="0" w:type="dxa"/>
            <w:right w:w="108" w:type="dxa"/>
          </w:tblCellMar>
        </w:tblPrEx>
        <w:trPr>
          <w:trHeight w:val="510" w:hRule="atLeast"/>
        </w:trPr>
        <w:tc>
          <w:tcPr>
            <w:tcW w:w="8381"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32"/>
                <w:szCs w:val="32"/>
              </w:rPr>
            </w:pPr>
            <w:r>
              <w:rPr>
                <w:rFonts w:ascii="Calibri" w:hAnsi="Calibri" w:cs="Calibri"/>
                <w:color w:val="000000"/>
                <w:kern w:val="0"/>
                <w:sz w:val="32"/>
                <w:szCs w:val="32"/>
              </w:rPr>
              <w:t>项目支出绩效目标批复表</w:t>
            </w:r>
          </w:p>
        </w:tc>
      </w:tr>
      <w:tr>
        <w:tblPrEx>
          <w:tblCellMar>
            <w:top w:w="0" w:type="dxa"/>
            <w:left w:w="108" w:type="dxa"/>
            <w:bottom w:w="0" w:type="dxa"/>
            <w:right w:w="108" w:type="dxa"/>
          </w:tblCellMar>
        </w:tblPrEx>
        <w:trPr>
          <w:trHeight w:val="300" w:hRule="atLeast"/>
        </w:trPr>
        <w:tc>
          <w:tcPr>
            <w:tcW w:w="8381" w:type="dxa"/>
            <w:gridSpan w:val="9"/>
            <w:tcBorders>
              <w:top w:val="nil"/>
              <w:left w:val="nil"/>
              <w:bottom w:val="nil"/>
              <w:right w:val="nil"/>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2021年</w:t>
            </w:r>
          </w:p>
        </w:tc>
      </w:tr>
      <w:tr>
        <w:tblPrEx>
          <w:tblCellMar>
            <w:top w:w="0" w:type="dxa"/>
            <w:left w:w="108" w:type="dxa"/>
            <w:bottom w:w="0" w:type="dxa"/>
            <w:right w:w="108" w:type="dxa"/>
          </w:tblCellMar>
        </w:tblPrEx>
        <w:trPr>
          <w:trHeight w:val="345" w:hRule="atLeast"/>
        </w:trPr>
        <w:tc>
          <w:tcPr>
            <w:tcW w:w="3769" w:type="dxa"/>
            <w:gridSpan w:val="3"/>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填报单位盖章（公章）：</w:t>
            </w:r>
          </w:p>
        </w:tc>
        <w:tc>
          <w:tcPr>
            <w:tcW w:w="3801" w:type="dxa"/>
            <w:gridSpan w:val="4"/>
            <w:tcBorders>
              <w:top w:val="nil"/>
              <w:left w:val="nil"/>
              <w:bottom w:val="nil"/>
              <w:right w:val="nil"/>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青岛市李沧区人民检察院</w:t>
            </w:r>
          </w:p>
        </w:tc>
        <w:tc>
          <w:tcPr>
            <w:tcW w:w="811" w:type="dxa"/>
            <w:gridSpan w:val="2"/>
            <w:tcBorders>
              <w:top w:val="nil"/>
              <w:left w:val="nil"/>
              <w:bottom w:val="nil"/>
              <w:right w:val="nil"/>
            </w:tcBorders>
            <w:shd w:val="clear" w:color="auto" w:fill="auto"/>
            <w:vAlign w:val="center"/>
          </w:tcPr>
          <w:p>
            <w:pPr>
              <w:widowControl/>
              <w:jc w:val="left"/>
              <w:rPr>
                <w:rFonts w:ascii="Calibri" w:hAnsi="Calibri" w:cs="Calibri"/>
                <w:color w:val="000000"/>
                <w:kern w:val="0"/>
                <w:sz w:val="22"/>
                <w:szCs w:val="22"/>
              </w:rPr>
            </w:pPr>
          </w:p>
        </w:tc>
      </w:tr>
      <w:tr>
        <w:tblPrEx>
          <w:tblCellMar>
            <w:top w:w="0" w:type="dxa"/>
            <w:left w:w="108" w:type="dxa"/>
            <w:bottom w:w="0" w:type="dxa"/>
            <w:right w:w="108" w:type="dxa"/>
          </w:tblCellMar>
        </w:tblPrEx>
        <w:trPr>
          <w:trHeight w:val="34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项目名称</w:t>
            </w:r>
          </w:p>
        </w:tc>
        <w:tc>
          <w:tcPr>
            <w:tcW w:w="652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20203773-检察信息化建设经费</w:t>
            </w:r>
          </w:p>
        </w:tc>
      </w:tr>
      <w:tr>
        <w:tblPrEx>
          <w:tblCellMar>
            <w:top w:w="0" w:type="dxa"/>
            <w:left w:w="108" w:type="dxa"/>
            <w:bottom w:w="0" w:type="dxa"/>
            <w:right w:w="108" w:type="dxa"/>
          </w:tblCellMar>
        </w:tblPrEx>
        <w:trPr>
          <w:trHeight w:val="600"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主管部门</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李沧区检察院</w:t>
            </w:r>
          </w:p>
        </w:tc>
        <w:tc>
          <w:tcPr>
            <w:tcW w:w="28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项目单位</w:t>
            </w: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016001-青岛市李沧区人民检察院</w:t>
            </w:r>
          </w:p>
        </w:tc>
      </w:tr>
      <w:tr>
        <w:tblPrEx>
          <w:tblCellMar>
            <w:top w:w="0" w:type="dxa"/>
            <w:left w:w="108" w:type="dxa"/>
            <w:bottom w:w="0" w:type="dxa"/>
            <w:right w:w="108" w:type="dxa"/>
          </w:tblCellMar>
        </w:tblPrEx>
        <w:trPr>
          <w:trHeight w:val="34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项目属性</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02-经常性项目</w:t>
            </w:r>
          </w:p>
        </w:tc>
        <w:tc>
          <w:tcPr>
            <w:tcW w:w="28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项目期</w:t>
            </w:r>
          </w:p>
        </w:tc>
        <w:tc>
          <w:tcPr>
            <w:tcW w:w="170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2021-2021</w:t>
            </w:r>
          </w:p>
        </w:tc>
      </w:tr>
      <w:tr>
        <w:tblPrEx>
          <w:tblCellMar>
            <w:top w:w="0" w:type="dxa"/>
            <w:left w:w="108" w:type="dxa"/>
            <w:bottom w:w="0" w:type="dxa"/>
            <w:right w:w="108" w:type="dxa"/>
          </w:tblCellMar>
        </w:tblPrEx>
        <w:trPr>
          <w:trHeight w:val="30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项目资金（万元）</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中期资金总额：</w:t>
            </w:r>
          </w:p>
        </w:tc>
        <w:tc>
          <w:tcPr>
            <w:tcW w:w="28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年度资金总额（万元）：</w:t>
            </w:r>
          </w:p>
        </w:tc>
        <w:tc>
          <w:tcPr>
            <w:tcW w:w="170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685.00</w:t>
            </w:r>
          </w:p>
        </w:tc>
      </w:tr>
      <w:tr>
        <w:tblPrEx>
          <w:tblCellMar>
            <w:top w:w="0" w:type="dxa"/>
            <w:left w:w="108" w:type="dxa"/>
            <w:bottom w:w="0" w:type="dxa"/>
            <w:right w:w="108" w:type="dxa"/>
          </w:tblCellMar>
        </w:tblPrEx>
        <w:trPr>
          <w:trHeight w:val="30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28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其中：财政拨款</w:t>
            </w:r>
          </w:p>
        </w:tc>
        <w:tc>
          <w:tcPr>
            <w:tcW w:w="170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Calibri" w:hAnsi="Calibri" w:cs="Calibri"/>
                <w:color w:val="000000"/>
                <w:kern w:val="0"/>
                <w:sz w:val="22"/>
                <w:szCs w:val="22"/>
              </w:rPr>
            </w:pPr>
            <w:r>
              <w:rPr>
                <w:rFonts w:ascii="Calibri" w:hAnsi="Calibri" w:cs="Calibri"/>
                <w:color w:val="000000"/>
                <w:kern w:val="0"/>
                <w:sz w:val="22"/>
                <w:szCs w:val="22"/>
              </w:rPr>
              <w:t>685.00</w:t>
            </w:r>
          </w:p>
        </w:tc>
      </w:tr>
      <w:tr>
        <w:tblPrEx>
          <w:tblCellMar>
            <w:top w:w="0" w:type="dxa"/>
            <w:left w:w="108" w:type="dxa"/>
            <w:bottom w:w="0" w:type="dxa"/>
            <w:right w:w="108" w:type="dxa"/>
          </w:tblCellMar>
        </w:tblPrEx>
        <w:trPr>
          <w:trHeight w:val="30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283"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其他资金</w:t>
            </w:r>
          </w:p>
        </w:tc>
        <w:tc>
          <w:tcPr>
            <w:tcW w:w="1701"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574" w:hRule="atLeast"/>
        </w:trPr>
        <w:tc>
          <w:tcPr>
            <w:tcW w:w="72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中期</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655"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2070" w:hRule="atLeast"/>
        </w:trPr>
        <w:tc>
          <w:tcPr>
            <w:tcW w:w="72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年度</w:t>
            </w:r>
            <w:r>
              <w:rPr>
                <w:rFonts w:ascii="Calibri" w:hAnsi="Calibri" w:cs="Calibri"/>
                <w:color w:val="000000"/>
                <w:kern w:val="0"/>
                <w:sz w:val="22"/>
                <w:szCs w:val="22"/>
              </w:rPr>
              <w:br w:type="textWrapping"/>
            </w:r>
            <w:r>
              <w:rPr>
                <w:rFonts w:ascii="Calibri" w:hAnsi="Calibri" w:cs="Calibri"/>
                <w:color w:val="000000"/>
                <w:kern w:val="0"/>
                <w:sz w:val="22"/>
                <w:szCs w:val="22"/>
              </w:rPr>
              <w:t>目标</w:t>
            </w:r>
          </w:p>
        </w:tc>
        <w:tc>
          <w:tcPr>
            <w:tcW w:w="7655"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xml:space="preserve"> 1.信息安全等级保护是国家通过制定统一的信息安全等级包谷管理规范和技术标准对等级保护工作的实施进行监督、管理。提高信息安全保障能力和水平，维护国家安全、社会稳定和公共利益，保障和促进信息化建设健康发展的有利保障。</w:t>
            </w:r>
            <w:r>
              <w:rPr>
                <w:rFonts w:ascii="Calibri" w:hAnsi="Calibri" w:cs="Calibri"/>
                <w:color w:val="000000"/>
                <w:kern w:val="0"/>
                <w:sz w:val="22"/>
                <w:szCs w:val="22"/>
              </w:rPr>
              <w:br w:type="textWrapping"/>
            </w:r>
            <w:r>
              <w:rPr>
                <w:rFonts w:ascii="Calibri" w:hAnsi="Calibri" w:cs="Calibri"/>
                <w:color w:val="000000"/>
                <w:kern w:val="0"/>
                <w:sz w:val="22"/>
                <w:szCs w:val="22"/>
              </w:rPr>
              <w:br w:type="textWrapping"/>
            </w:r>
            <w:r>
              <w:rPr>
                <w:rFonts w:ascii="Calibri" w:hAnsi="Calibri" w:cs="Calibri"/>
                <w:color w:val="000000"/>
                <w:kern w:val="0"/>
                <w:sz w:val="22"/>
                <w:szCs w:val="22"/>
              </w:rPr>
              <w:t>2.检察听证是检察机关主动转变司法办案理念，接收外部监督的一项制度创新，是满足新时代人民群众在民主法治、公平、正义、安全、环境等方面新需求的重要举措，是进一步提升检察人员办案能力，努力实现案结事了的重要途径。全面提高工作规范性、管理效力和司法公信力</w:t>
            </w:r>
            <w:r>
              <w:rPr>
                <w:rFonts w:ascii="Calibri" w:hAnsi="Calibri" w:cs="Calibri"/>
                <w:color w:val="000000"/>
                <w:kern w:val="0"/>
                <w:sz w:val="22"/>
                <w:szCs w:val="22"/>
              </w:rPr>
              <w:br w:type="textWrapping"/>
            </w:r>
            <w:r>
              <w:rPr>
                <w:rFonts w:ascii="Calibri" w:hAnsi="Calibri" w:cs="Calibri"/>
                <w:color w:val="000000"/>
                <w:kern w:val="0"/>
                <w:sz w:val="22"/>
                <w:szCs w:val="22"/>
              </w:rPr>
              <w:br w:type="textWrapping"/>
            </w:r>
            <w:r>
              <w:rPr>
                <w:rFonts w:ascii="Calibri" w:hAnsi="Calibri" w:cs="Calibri"/>
                <w:color w:val="000000"/>
                <w:kern w:val="0"/>
                <w:sz w:val="22"/>
                <w:szCs w:val="22"/>
              </w:rPr>
              <w:t>3.依托高度加密算法，为提供者提供最便捷、最丰富、最安全的服务。</w:t>
            </w:r>
            <w:r>
              <w:rPr>
                <w:rFonts w:ascii="Calibri" w:hAnsi="Calibri" w:cs="Calibri"/>
                <w:color w:val="000000"/>
                <w:kern w:val="0"/>
                <w:sz w:val="22"/>
                <w:szCs w:val="22"/>
              </w:rPr>
              <w:br w:type="textWrapping"/>
            </w:r>
            <w:r>
              <w:rPr>
                <w:rFonts w:ascii="Calibri" w:hAnsi="Calibri" w:cs="Calibri"/>
                <w:color w:val="000000"/>
                <w:kern w:val="0"/>
                <w:sz w:val="22"/>
                <w:szCs w:val="22"/>
              </w:rPr>
              <w:br w:type="textWrapping"/>
            </w:r>
            <w:r>
              <w:rPr>
                <w:rFonts w:ascii="Calibri" w:hAnsi="Calibri" w:cs="Calibri"/>
                <w:color w:val="000000"/>
                <w:kern w:val="0"/>
                <w:sz w:val="22"/>
                <w:szCs w:val="22"/>
              </w:rPr>
              <w:t>4.有效解决刑事检察监督领域面临的突出问题，促进法律监督工作提质增效。</w:t>
            </w:r>
            <w:r>
              <w:rPr>
                <w:rFonts w:ascii="Calibri" w:hAnsi="Calibri" w:cs="Calibri"/>
                <w:color w:val="000000"/>
                <w:kern w:val="0"/>
                <w:sz w:val="22"/>
                <w:szCs w:val="22"/>
              </w:rPr>
              <w:br w:type="textWrapping"/>
            </w:r>
            <w:r>
              <w:rPr>
                <w:rFonts w:ascii="Calibri" w:hAnsi="Calibri" w:cs="Calibri"/>
                <w:color w:val="000000"/>
                <w:kern w:val="0"/>
                <w:sz w:val="22"/>
                <w:szCs w:val="22"/>
              </w:rPr>
              <w:br w:type="textWrapping"/>
            </w:r>
            <w:r>
              <w:rPr>
                <w:rFonts w:ascii="Calibri" w:hAnsi="Calibri" w:cs="Calibri"/>
                <w:color w:val="000000"/>
                <w:kern w:val="0"/>
                <w:sz w:val="22"/>
                <w:szCs w:val="22"/>
              </w:rPr>
              <w:t>5.对涉密信息系统分级保护，确保系统和信息安全。</w:t>
            </w:r>
            <w:r>
              <w:rPr>
                <w:rFonts w:ascii="Calibri" w:hAnsi="Calibri" w:cs="Calibri"/>
                <w:color w:val="000000"/>
                <w:kern w:val="0"/>
                <w:sz w:val="22"/>
                <w:szCs w:val="22"/>
              </w:rPr>
              <w:br w:type="textWrapping"/>
            </w:r>
            <w:r>
              <w:rPr>
                <w:rFonts w:ascii="Calibri" w:hAnsi="Calibri" w:cs="Calibri"/>
                <w:color w:val="000000"/>
                <w:kern w:val="0"/>
                <w:sz w:val="22"/>
                <w:szCs w:val="22"/>
              </w:rPr>
              <w:br w:type="textWrapping"/>
            </w:r>
            <w:r>
              <w:rPr>
                <w:rFonts w:ascii="Calibri" w:hAnsi="Calibri" w:cs="Calibri"/>
                <w:color w:val="000000"/>
                <w:kern w:val="0"/>
                <w:sz w:val="22"/>
                <w:szCs w:val="22"/>
              </w:rPr>
              <w:t>6.简化借还流程，提高档案流通效率；大幅降低资料盘点和查找工作量；提高资料管理人员工作人员的工作满意度。</w:t>
            </w:r>
          </w:p>
        </w:tc>
      </w:tr>
      <w:tr>
        <w:tblPrEx>
          <w:tblCellMar>
            <w:top w:w="0" w:type="dxa"/>
            <w:left w:w="108" w:type="dxa"/>
            <w:bottom w:w="0" w:type="dxa"/>
            <w:right w:w="108" w:type="dxa"/>
          </w:tblCellMar>
        </w:tblPrEx>
        <w:trPr>
          <w:trHeight w:val="300" w:hRule="atLeast"/>
        </w:trPr>
        <w:tc>
          <w:tcPr>
            <w:tcW w:w="72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绩效目标</w:t>
            </w:r>
          </w:p>
        </w:tc>
        <w:tc>
          <w:tcPr>
            <w:tcW w:w="1134"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一级指标</w:t>
            </w:r>
          </w:p>
        </w:tc>
        <w:tc>
          <w:tcPr>
            <w:tcW w:w="2268" w:type="dxa"/>
            <w:gridSpan w:val="3"/>
            <w:tcBorders>
              <w:top w:val="nil"/>
              <w:left w:val="nil"/>
              <w:bottom w:val="single" w:color="000000" w:sz="4" w:space="0"/>
              <w:right w:val="single" w:color="000000" w:sz="4" w:space="0"/>
            </w:tcBorders>
            <w:shd w:val="clear" w:color="auto" w:fill="auto"/>
            <w:noWrap/>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二级指标</w:t>
            </w:r>
          </w:p>
        </w:tc>
        <w:tc>
          <w:tcPr>
            <w:tcW w:w="2552"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三级指标</w:t>
            </w:r>
          </w:p>
        </w:tc>
        <w:tc>
          <w:tcPr>
            <w:tcW w:w="992"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Calibri" w:hAnsi="Calibri" w:cs="Calibri"/>
                <w:color w:val="000000"/>
                <w:kern w:val="0"/>
                <w:sz w:val="22"/>
                <w:szCs w:val="22"/>
              </w:rPr>
            </w:pPr>
            <w:r>
              <w:rPr>
                <w:rFonts w:ascii="Calibri" w:hAnsi="Calibri" w:cs="Calibri"/>
                <w:color w:val="000000"/>
                <w:kern w:val="0"/>
                <w:sz w:val="22"/>
                <w:szCs w:val="22"/>
              </w:rPr>
              <w:t>指标值</w:t>
            </w:r>
          </w:p>
        </w:tc>
        <w:tc>
          <w:tcPr>
            <w:tcW w:w="709" w:type="dxa"/>
            <w:tcBorders>
              <w:top w:val="nil"/>
              <w:left w:val="nil"/>
              <w:bottom w:val="single" w:color="000000" w:sz="4" w:space="0"/>
              <w:right w:val="single" w:color="000000" w:sz="4" w:space="0"/>
            </w:tcBorders>
            <w:shd w:val="clear" w:color="auto" w:fill="auto"/>
            <w:vAlign w:val="bottom"/>
          </w:tcPr>
          <w:p>
            <w:pPr>
              <w:widowControl/>
              <w:jc w:val="left"/>
              <w:rPr>
                <w:rFonts w:ascii="Calibri" w:hAnsi="Calibri" w:cs="Calibri"/>
                <w:color w:val="000000"/>
                <w:kern w:val="0"/>
                <w:sz w:val="22"/>
                <w:szCs w:val="22"/>
              </w:rPr>
            </w:pPr>
            <w:r>
              <w:rPr>
                <w:rFonts w:ascii="Calibri" w:hAnsi="Calibri" w:cs="Calibri"/>
                <w:color w:val="000000"/>
                <w:kern w:val="0"/>
                <w:sz w:val="22"/>
                <w:szCs w:val="22"/>
              </w:rPr>
              <w:t>备注</w:t>
            </w:r>
          </w:p>
        </w:tc>
      </w:tr>
      <w:tr>
        <w:tblPrEx>
          <w:tblCellMar>
            <w:top w:w="0" w:type="dxa"/>
            <w:left w:w="108" w:type="dxa"/>
            <w:bottom w:w="0" w:type="dxa"/>
            <w:right w:w="108" w:type="dxa"/>
          </w:tblCellMar>
        </w:tblPrEx>
        <w:trPr>
          <w:trHeight w:val="277"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产出指标</w:t>
            </w: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数量指标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项目建成率</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≥90</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408"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质量指标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预计可使用年限</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≥5年</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99"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时效指标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本年度</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89"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成本</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6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效益指标</w:t>
            </w: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经济效益指标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是否带来经济效益</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无</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69"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社会效益指标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是否满足社会司法要求</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4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生态效益指标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是否环保</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是</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49"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可持续影响年度</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≥5年</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25"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满意度指标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信息化建设满意度</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≥90</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61" w:hRule="atLeast"/>
        </w:trPr>
        <w:tc>
          <w:tcPr>
            <w:tcW w:w="72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Calibri"/>
                <w:color w:val="000000"/>
                <w:kern w:val="0"/>
                <w:sz w:val="22"/>
                <w:szCs w:val="22"/>
              </w:rPr>
            </w:pPr>
          </w:p>
        </w:tc>
        <w:tc>
          <w:tcPr>
            <w:tcW w:w="226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服务对象满意度指标</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干警使用满意度</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≥95</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r>
    </w:tbl>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48"/>
          <w:szCs w:val="48"/>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一、财政拨款收入：</w:t>
      </w:r>
      <w:r>
        <w:rPr>
          <w:rFonts w:hint="eastAsia" w:ascii="仿宋_GB2312" w:hAnsi="仿宋_GB2312" w:eastAsia="仿宋_GB2312" w:cs="仿宋_GB2312"/>
          <w:sz w:val="32"/>
          <w:szCs w:val="32"/>
        </w:rPr>
        <w:t>指由区级财政当年拨付的资金</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二、上级补助收入：</w:t>
      </w:r>
      <w:r>
        <w:rPr>
          <w:rFonts w:hint="eastAsia" w:ascii="仿宋_GB2312" w:hAnsi="仿宋_GB2312" w:eastAsia="仿宋_GB2312" w:cs="仿宋_GB2312"/>
          <w:sz w:val="32"/>
          <w:szCs w:val="32"/>
        </w:rPr>
        <w:t>指事业单位从主管部门和上级单位取得的非财政补助收入。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三、事业收入：</w:t>
      </w:r>
      <w:r>
        <w:rPr>
          <w:rFonts w:hint="eastAsia" w:ascii="仿宋_GB2312" w:hAnsi="仿宋_GB2312" w:eastAsia="仿宋_GB2312" w:cs="仿宋_GB2312"/>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四、附属单位上缴收入：</w:t>
      </w:r>
      <w:r>
        <w:rPr>
          <w:rFonts w:hint="eastAsia" w:ascii="仿宋_GB2312" w:hAnsi="仿宋_GB2312" w:eastAsia="仿宋_GB2312" w:cs="仿宋_GB2312"/>
          <w:sz w:val="32"/>
          <w:szCs w:val="32"/>
        </w:rPr>
        <w:t>指事业单位附属独立核算单位按照有关规定上缴的收入。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六、其他收入：</w:t>
      </w:r>
      <w:r>
        <w:rPr>
          <w:rFonts w:hint="eastAsia" w:ascii="仿宋_GB2312" w:hAnsi="仿宋_GB2312" w:eastAsia="仿宋_GB2312" w:cs="仿宋_GB2312"/>
          <w:sz w:val="32"/>
          <w:szCs w:val="32"/>
        </w:rPr>
        <w:t>指单位取得的除上述“财政拨款收入”、“上级补助收入”、“事业收入”、“附属单位上缴收入”、“经营收入”等以外的各项收入，包括利息收入、捐赠收入等。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七、基本支出：</w:t>
      </w:r>
      <w:r>
        <w:rPr>
          <w:rFonts w:hint="eastAsia" w:ascii="仿宋_GB2312" w:hAnsi="仿宋_GB2312" w:eastAsia="仿宋_GB2312" w:cs="仿宋_GB2312"/>
          <w:sz w:val="32"/>
          <w:szCs w:val="32"/>
        </w:rPr>
        <w:t>指为保障其机构正常运转、完成日常工作任务而发生的人员支出和日常公用支出。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八、项目支出：</w:t>
      </w:r>
      <w:r>
        <w:rPr>
          <w:rFonts w:hint="eastAsia" w:ascii="仿宋_GB2312" w:hAnsi="仿宋_GB2312" w:eastAsia="仿宋_GB2312" w:cs="仿宋_GB2312"/>
          <w:sz w:val="32"/>
          <w:szCs w:val="32"/>
        </w:rPr>
        <w:t>指在基本支出之外为完成特定的工作任务或事业发展目标所发生的支出。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十、对附属单位补助支出：</w:t>
      </w:r>
      <w:r>
        <w:rPr>
          <w:rFonts w:hint="eastAsia" w:ascii="仿宋_GB2312" w:hAnsi="仿宋_GB2312" w:eastAsia="仿宋_GB2312" w:cs="仿宋_GB2312"/>
          <w:sz w:val="32"/>
          <w:szCs w:val="32"/>
        </w:rPr>
        <w:t>指事业单位用财政补助收入之外的收入对附属单位补助发生的支出。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十一、其他支出：</w:t>
      </w:r>
      <w:r>
        <w:rPr>
          <w:rFonts w:hint="eastAsia" w:ascii="仿宋_GB2312" w:hAnsi="仿宋_GB2312" w:eastAsia="仿宋_GB2312" w:cs="仿宋_GB2312"/>
          <w:sz w:val="32"/>
          <w:szCs w:val="32"/>
        </w:rPr>
        <w:t>指除“基本支出”、“项目支出”、“经营支出”、“对附属单位补助支出”等以外的各项支出，包括利息支出、捐赠支出等。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十二、“三公”经费：</w:t>
      </w:r>
      <w:r>
        <w:rPr>
          <w:rFonts w:hint="eastAsia" w:ascii="仿宋_GB2312" w:hAnsi="仿宋_GB2312" w:eastAsia="仿宋_GB2312" w:cs="仿宋_GB2312"/>
          <w:sz w:val="32"/>
          <w:szCs w:val="32"/>
        </w:rPr>
        <w:t>指区级部门用财政拨款安排的因公出国（境）费、公务用车购置及运行费和公务接待费。其中，因公出国（境）费反映单位公务出国（境）的差旅费、国外城区间交通费、住宿费、伙食补助费、杂费、培训费等支出；公务用车购置及运行费反映单位公务用车购置费（含车辆购置税）及燃料费、维修费、过路过桥费、保险费等支出；公务接待费反映单位按规定开支的各类公务接待（含外宾接待）支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十三、无特有的其他需进行解释说明的名词。</w:t>
      </w:r>
    </w:p>
    <w:p>
      <w:pPr>
        <w:spacing w:line="580" w:lineRule="exact"/>
        <w:ind w:firstLine="640" w:firstLineChars="200"/>
        <w:rPr>
          <w:rFonts w:ascii="仿宋_GB2312" w:eastAsia="仿宋_GB2312"/>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星简大标宋">
    <w:altName w:val="微软雅黑"/>
    <w:panose1 w:val="00000000000000000000"/>
    <w:charset w:val="86"/>
    <w:family w:val="modern"/>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- 19 -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193"/>
    <w:rsid w:val="00002E7D"/>
    <w:rsid w:val="00003283"/>
    <w:rsid w:val="000037A0"/>
    <w:rsid w:val="00010FE6"/>
    <w:rsid w:val="00015729"/>
    <w:rsid w:val="00016478"/>
    <w:rsid w:val="00017BE6"/>
    <w:rsid w:val="00023ACF"/>
    <w:rsid w:val="000262D1"/>
    <w:rsid w:val="00031E72"/>
    <w:rsid w:val="00031FDC"/>
    <w:rsid w:val="000348C2"/>
    <w:rsid w:val="000368B1"/>
    <w:rsid w:val="00037B20"/>
    <w:rsid w:val="00044DCC"/>
    <w:rsid w:val="00045A58"/>
    <w:rsid w:val="00046A75"/>
    <w:rsid w:val="00047D02"/>
    <w:rsid w:val="00057D1D"/>
    <w:rsid w:val="00060F8F"/>
    <w:rsid w:val="00074D65"/>
    <w:rsid w:val="00076E25"/>
    <w:rsid w:val="00077098"/>
    <w:rsid w:val="0008135F"/>
    <w:rsid w:val="00082097"/>
    <w:rsid w:val="00090C14"/>
    <w:rsid w:val="0009153D"/>
    <w:rsid w:val="000A18DF"/>
    <w:rsid w:val="000A2755"/>
    <w:rsid w:val="000A32E5"/>
    <w:rsid w:val="000A7E71"/>
    <w:rsid w:val="000B0216"/>
    <w:rsid w:val="000B02E0"/>
    <w:rsid w:val="000C74E1"/>
    <w:rsid w:val="000D0803"/>
    <w:rsid w:val="000D1878"/>
    <w:rsid w:val="000D31C7"/>
    <w:rsid w:val="000D5383"/>
    <w:rsid w:val="000E2130"/>
    <w:rsid w:val="000E37E6"/>
    <w:rsid w:val="000E76A2"/>
    <w:rsid w:val="000F2160"/>
    <w:rsid w:val="000F271F"/>
    <w:rsid w:val="000F406F"/>
    <w:rsid w:val="000F6B1F"/>
    <w:rsid w:val="000F75A5"/>
    <w:rsid w:val="00102DF0"/>
    <w:rsid w:val="00107432"/>
    <w:rsid w:val="00110E54"/>
    <w:rsid w:val="00111472"/>
    <w:rsid w:val="001149AF"/>
    <w:rsid w:val="00114AFE"/>
    <w:rsid w:val="00115355"/>
    <w:rsid w:val="00115F31"/>
    <w:rsid w:val="00117FD5"/>
    <w:rsid w:val="001218EF"/>
    <w:rsid w:val="00121C23"/>
    <w:rsid w:val="0012430D"/>
    <w:rsid w:val="001247D3"/>
    <w:rsid w:val="0012556E"/>
    <w:rsid w:val="00125BFB"/>
    <w:rsid w:val="00127065"/>
    <w:rsid w:val="0013247D"/>
    <w:rsid w:val="00133784"/>
    <w:rsid w:val="0013508F"/>
    <w:rsid w:val="0014481D"/>
    <w:rsid w:val="00144F0E"/>
    <w:rsid w:val="0015319D"/>
    <w:rsid w:val="00155BA2"/>
    <w:rsid w:val="0016381D"/>
    <w:rsid w:val="001659B0"/>
    <w:rsid w:val="00167985"/>
    <w:rsid w:val="00167F6E"/>
    <w:rsid w:val="00170426"/>
    <w:rsid w:val="0017132B"/>
    <w:rsid w:val="001776CE"/>
    <w:rsid w:val="001823F0"/>
    <w:rsid w:val="00182547"/>
    <w:rsid w:val="00184019"/>
    <w:rsid w:val="00186D80"/>
    <w:rsid w:val="00191962"/>
    <w:rsid w:val="0019244E"/>
    <w:rsid w:val="001949DD"/>
    <w:rsid w:val="00195E4A"/>
    <w:rsid w:val="001961AE"/>
    <w:rsid w:val="001A0EBF"/>
    <w:rsid w:val="001A201E"/>
    <w:rsid w:val="001A2543"/>
    <w:rsid w:val="001A5C0A"/>
    <w:rsid w:val="001B062F"/>
    <w:rsid w:val="001B293E"/>
    <w:rsid w:val="001B2B4D"/>
    <w:rsid w:val="001B60EA"/>
    <w:rsid w:val="001B7658"/>
    <w:rsid w:val="001C37EC"/>
    <w:rsid w:val="001C3C5A"/>
    <w:rsid w:val="001C444B"/>
    <w:rsid w:val="001C4F25"/>
    <w:rsid w:val="001C5454"/>
    <w:rsid w:val="001C5FD0"/>
    <w:rsid w:val="001C6FF9"/>
    <w:rsid w:val="001C7171"/>
    <w:rsid w:val="001D09B8"/>
    <w:rsid w:val="001D0C62"/>
    <w:rsid w:val="001D1089"/>
    <w:rsid w:val="001D197E"/>
    <w:rsid w:val="001E15E6"/>
    <w:rsid w:val="001E24EC"/>
    <w:rsid w:val="001E4025"/>
    <w:rsid w:val="001E457C"/>
    <w:rsid w:val="001F0816"/>
    <w:rsid w:val="001F65C5"/>
    <w:rsid w:val="001F789E"/>
    <w:rsid w:val="002022B9"/>
    <w:rsid w:val="0020598C"/>
    <w:rsid w:val="00210B61"/>
    <w:rsid w:val="0021146E"/>
    <w:rsid w:val="00211F82"/>
    <w:rsid w:val="002122D4"/>
    <w:rsid w:val="002139C7"/>
    <w:rsid w:val="00213DC0"/>
    <w:rsid w:val="00215C2A"/>
    <w:rsid w:val="00216951"/>
    <w:rsid w:val="002176EE"/>
    <w:rsid w:val="00221AB2"/>
    <w:rsid w:val="00221DFE"/>
    <w:rsid w:val="00225133"/>
    <w:rsid w:val="00226C5A"/>
    <w:rsid w:val="00231B86"/>
    <w:rsid w:val="00231EBE"/>
    <w:rsid w:val="00232600"/>
    <w:rsid w:val="00232FE3"/>
    <w:rsid w:val="002332D4"/>
    <w:rsid w:val="0024268A"/>
    <w:rsid w:val="0024711E"/>
    <w:rsid w:val="00253115"/>
    <w:rsid w:val="00253C14"/>
    <w:rsid w:val="0026303E"/>
    <w:rsid w:val="00265A3A"/>
    <w:rsid w:val="002661EC"/>
    <w:rsid w:val="002669B6"/>
    <w:rsid w:val="00267585"/>
    <w:rsid w:val="002713E0"/>
    <w:rsid w:val="00272A85"/>
    <w:rsid w:val="00274233"/>
    <w:rsid w:val="00282C2B"/>
    <w:rsid w:val="00291309"/>
    <w:rsid w:val="00294D2F"/>
    <w:rsid w:val="002A412F"/>
    <w:rsid w:val="002B09AE"/>
    <w:rsid w:val="002B7DA7"/>
    <w:rsid w:val="002C47BC"/>
    <w:rsid w:val="002C60A5"/>
    <w:rsid w:val="002D0011"/>
    <w:rsid w:val="002D35C0"/>
    <w:rsid w:val="002D38E5"/>
    <w:rsid w:val="002D3EFE"/>
    <w:rsid w:val="002D504E"/>
    <w:rsid w:val="002D748B"/>
    <w:rsid w:val="002E5BA7"/>
    <w:rsid w:val="002F0219"/>
    <w:rsid w:val="002F6E69"/>
    <w:rsid w:val="00301BBA"/>
    <w:rsid w:val="0030390E"/>
    <w:rsid w:val="00310430"/>
    <w:rsid w:val="00311702"/>
    <w:rsid w:val="0031390B"/>
    <w:rsid w:val="0031481E"/>
    <w:rsid w:val="00316B3F"/>
    <w:rsid w:val="003207A7"/>
    <w:rsid w:val="00321062"/>
    <w:rsid w:val="00322604"/>
    <w:rsid w:val="00323FD0"/>
    <w:rsid w:val="00324F4C"/>
    <w:rsid w:val="00326A28"/>
    <w:rsid w:val="00326D33"/>
    <w:rsid w:val="00326E71"/>
    <w:rsid w:val="00331F0D"/>
    <w:rsid w:val="00335733"/>
    <w:rsid w:val="003439FD"/>
    <w:rsid w:val="00344C60"/>
    <w:rsid w:val="00345092"/>
    <w:rsid w:val="00345DCF"/>
    <w:rsid w:val="003466B0"/>
    <w:rsid w:val="00346C30"/>
    <w:rsid w:val="0034701E"/>
    <w:rsid w:val="00350E02"/>
    <w:rsid w:val="00354A29"/>
    <w:rsid w:val="0036187C"/>
    <w:rsid w:val="003622FC"/>
    <w:rsid w:val="00362A69"/>
    <w:rsid w:val="00363B33"/>
    <w:rsid w:val="00364D86"/>
    <w:rsid w:val="00366644"/>
    <w:rsid w:val="00366A03"/>
    <w:rsid w:val="0036790A"/>
    <w:rsid w:val="00367C74"/>
    <w:rsid w:val="0037006B"/>
    <w:rsid w:val="003733C9"/>
    <w:rsid w:val="00374547"/>
    <w:rsid w:val="00375207"/>
    <w:rsid w:val="00376739"/>
    <w:rsid w:val="003772AC"/>
    <w:rsid w:val="00386AB9"/>
    <w:rsid w:val="00387C92"/>
    <w:rsid w:val="00390ABE"/>
    <w:rsid w:val="00392032"/>
    <w:rsid w:val="003A0A2C"/>
    <w:rsid w:val="003A1478"/>
    <w:rsid w:val="003B32A7"/>
    <w:rsid w:val="003B4301"/>
    <w:rsid w:val="003B71FC"/>
    <w:rsid w:val="003C0B34"/>
    <w:rsid w:val="003C1DD1"/>
    <w:rsid w:val="003C35F1"/>
    <w:rsid w:val="003C6496"/>
    <w:rsid w:val="003C766D"/>
    <w:rsid w:val="003D61D5"/>
    <w:rsid w:val="003D7461"/>
    <w:rsid w:val="003E4711"/>
    <w:rsid w:val="003E5556"/>
    <w:rsid w:val="003E5D24"/>
    <w:rsid w:val="003E7375"/>
    <w:rsid w:val="003F598A"/>
    <w:rsid w:val="00400329"/>
    <w:rsid w:val="00400E2C"/>
    <w:rsid w:val="004031BC"/>
    <w:rsid w:val="00405D47"/>
    <w:rsid w:val="00412B6A"/>
    <w:rsid w:val="00413BC6"/>
    <w:rsid w:val="00416379"/>
    <w:rsid w:val="00435C0A"/>
    <w:rsid w:val="00440A47"/>
    <w:rsid w:val="00441DD1"/>
    <w:rsid w:val="00443328"/>
    <w:rsid w:val="00445E78"/>
    <w:rsid w:val="0044702C"/>
    <w:rsid w:val="00454FBB"/>
    <w:rsid w:val="00455FF4"/>
    <w:rsid w:val="004607FD"/>
    <w:rsid w:val="00462348"/>
    <w:rsid w:val="00465436"/>
    <w:rsid w:val="00467431"/>
    <w:rsid w:val="00472085"/>
    <w:rsid w:val="00475CEF"/>
    <w:rsid w:val="00475EDF"/>
    <w:rsid w:val="0047767A"/>
    <w:rsid w:val="004830CB"/>
    <w:rsid w:val="0048482E"/>
    <w:rsid w:val="00484C45"/>
    <w:rsid w:val="00484CC0"/>
    <w:rsid w:val="00484D66"/>
    <w:rsid w:val="00485FDE"/>
    <w:rsid w:val="00490C6B"/>
    <w:rsid w:val="00492973"/>
    <w:rsid w:val="00493A46"/>
    <w:rsid w:val="004A6E98"/>
    <w:rsid w:val="004B0533"/>
    <w:rsid w:val="004B1F44"/>
    <w:rsid w:val="004B7583"/>
    <w:rsid w:val="004C1C7B"/>
    <w:rsid w:val="004C43C7"/>
    <w:rsid w:val="004C6442"/>
    <w:rsid w:val="004C6B98"/>
    <w:rsid w:val="004C7193"/>
    <w:rsid w:val="004D043F"/>
    <w:rsid w:val="004D225B"/>
    <w:rsid w:val="004D34A2"/>
    <w:rsid w:val="004D443F"/>
    <w:rsid w:val="004D56E2"/>
    <w:rsid w:val="004E185C"/>
    <w:rsid w:val="004F01C6"/>
    <w:rsid w:val="004F2701"/>
    <w:rsid w:val="004F2B79"/>
    <w:rsid w:val="004F4587"/>
    <w:rsid w:val="004F6772"/>
    <w:rsid w:val="0050040E"/>
    <w:rsid w:val="00500863"/>
    <w:rsid w:val="005011D4"/>
    <w:rsid w:val="005039A7"/>
    <w:rsid w:val="00505B64"/>
    <w:rsid w:val="00506738"/>
    <w:rsid w:val="005109A3"/>
    <w:rsid w:val="00512FF3"/>
    <w:rsid w:val="00521CC9"/>
    <w:rsid w:val="005223F4"/>
    <w:rsid w:val="00522F0F"/>
    <w:rsid w:val="005233EC"/>
    <w:rsid w:val="0053096A"/>
    <w:rsid w:val="0053153E"/>
    <w:rsid w:val="005344D3"/>
    <w:rsid w:val="00536282"/>
    <w:rsid w:val="005373CB"/>
    <w:rsid w:val="0053776B"/>
    <w:rsid w:val="00540F27"/>
    <w:rsid w:val="00543249"/>
    <w:rsid w:val="0054677A"/>
    <w:rsid w:val="00547154"/>
    <w:rsid w:val="00551ED0"/>
    <w:rsid w:val="005646A8"/>
    <w:rsid w:val="005720DB"/>
    <w:rsid w:val="00574539"/>
    <w:rsid w:val="005755A8"/>
    <w:rsid w:val="00577341"/>
    <w:rsid w:val="00577962"/>
    <w:rsid w:val="005831C6"/>
    <w:rsid w:val="00585BC9"/>
    <w:rsid w:val="005864D2"/>
    <w:rsid w:val="0059306C"/>
    <w:rsid w:val="00593642"/>
    <w:rsid w:val="00594782"/>
    <w:rsid w:val="00594ACF"/>
    <w:rsid w:val="005967A0"/>
    <w:rsid w:val="005A21B3"/>
    <w:rsid w:val="005A4DA4"/>
    <w:rsid w:val="005B024D"/>
    <w:rsid w:val="005B0B14"/>
    <w:rsid w:val="005B2496"/>
    <w:rsid w:val="005B297E"/>
    <w:rsid w:val="005C18B7"/>
    <w:rsid w:val="005C1C2D"/>
    <w:rsid w:val="005C1FA3"/>
    <w:rsid w:val="005C3252"/>
    <w:rsid w:val="005D2245"/>
    <w:rsid w:val="005D4E72"/>
    <w:rsid w:val="005D599A"/>
    <w:rsid w:val="005D6B39"/>
    <w:rsid w:val="005E134E"/>
    <w:rsid w:val="005E6413"/>
    <w:rsid w:val="005F0341"/>
    <w:rsid w:val="005F2D23"/>
    <w:rsid w:val="005F3F69"/>
    <w:rsid w:val="005F3F70"/>
    <w:rsid w:val="005F4BA3"/>
    <w:rsid w:val="005F7113"/>
    <w:rsid w:val="006007ED"/>
    <w:rsid w:val="00613A94"/>
    <w:rsid w:val="006143DF"/>
    <w:rsid w:val="00617765"/>
    <w:rsid w:val="00620166"/>
    <w:rsid w:val="006221DE"/>
    <w:rsid w:val="006238B2"/>
    <w:rsid w:val="0062674A"/>
    <w:rsid w:val="00626BC6"/>
    <w:rsid w:val="00630A0B"/>
    <w:rsid w:val="006330B8"/>
    <w:rsid w:val="006360A0"/>
    <w:rsid w:val="00636296"/>
    <w:rsid w:val="00642947"/>
    <w:rsid w:val="00645818"/>
    <w:rsid w:val="00653A44"/>
    <w:rsid w:val="0066582F"/>
    <w:rsid w:val="00667CBE"/>
    <w:rsid w:val="00671D18"/>
    <w:rsid w:val="00675CA1"/>
    <w:rsid w:val="00676472"/>
    <w:rsid w:val="006846DB"/>
    <w:rsid w:val="00694C54"/>
    <w:rsid w:val="00695D31"/>
    <w:rsid w:val="0069671E"/>
    <w:rsid w:val="006A50AB"/>
    <w:rsid w:val="006A54D4"/>
    <w:rsid w:val="006A5E5E"/>
    <w:rsid w:val="006A728B"/>
    <w:rsid w:val="006B2173"/>
    <w:rsid w:val="006B2F4F"/>
    <w:rsid w:val="006B3F4B"/>
    <w:rsid w:val="006B5892"/>
    <w:rsid w:val="006C16AE"/>
    <w:rsid w:val="006C2EC5"/>
    <w:rsid w:val="006C3613"/>
    <w:rsid w:val="006C48DF"/>
    <w:rsid w:val="006D2734"/>
    <w:rsid w:val="006D6890"/>
    <w:rsid w:val="006E0014"/>
    <w:rsid w:val="006E0A8D"/>
    <w:rsid w:val="006E5339"/>
    <w:rsid w:val="006F28B3"/>
    <w:rsid w:val="006F4106"/>
    <w:rsid w:val="007023BD"/>
    <w:rsid w:val="00703E1B"/>
    <w:rsid w:val="00706CC7"/>
    <w:rsid w:val="00713691"/>
    <w:rsid w:val="007155F8"/>
    <w:rsid w:val="00715A52"/>
    <w:rsid w:val="00717308"/>
    <w:rsid w:val="00720023"/>
    <w:rsid w:val="00720089"/>
    <w:rsid w:val="00725298"/>
    <w:rsid w:val="00731F18"/>
    <w:rsid w:val="007348EB"/>
    <w:rsid w:val="00735892"/>
    <w:rsid w:val="007363D5"/>
    <w:rsid w:val="00740894"/>
    <w:rsid w:val="0074314A"/>
    <w:rsid w:val="00746456"/>
    <w:rsid w:val="00747FD9"/>
    <w:rsid w:val="0075075B"/>
    <w:rsid w:val="007538FE"/>
    <w:rsid w:val="00754F5F"/>
    <w:rsid w:val="00755A8E"/>
    <w:rsid w:val="00756A4F"/>
    <w:rsid w:val="00756EBC"/>
    <w:rsid w:val="0076005C"/>
    <w:rsid w:val="00760C8A"/>
    <w:rsid w:val="0077070A"/>
    <w:rsid w:val="00774489"/>
    <w:rsid w:val="00774E1E"/>
    <w:rsid w:val="00780A98"/>
    <w:rsid w:val="00784D97"/>
    <w:rsid w:val="00785894"/>
    <w:rsid w:val="00785D7C"/>
    <w:rsid w:val="0078718E"/>
    <w:rsid w:val="00787970"/>
    <w:rsid w:val="00791675"/>
    <w:rsid w:val="00792E30"/>
    <w:rsid w:val="00795950"/>
    <w:rsid w:val="0079788A"/>
    <w:rsid w:val="007A0649"/>
    <w:rsid w:val="007A1AFB"/>
    <w:rsid w:val="007A48A4"/>
    <w:rsid w:val="007B2ABD"/>
    <w:rsid w:val="007B2AFC"/>
    <w:rsid w:val="007B5587"/>
    <w:rsid w:val="007C2DA9"/>
    <w:rsid w:val="007D0905"/>
    <w:rsid w:val="007D1F6A"/>
    <w:rsid w:val="007D2D78"/>
    <w:rsid w:val="007D2EFF"/>
    <w:rsid w:val="007E250F"/>
    <w:rsid w:val="007E3707"/>
    <w:rsid w:val="007F197F"/>
    <w:rsid w:val="007F4E22"/>
    <w:rsid w:val="008060D9"/>
    <w:rsid w:val="00810EA6"/>
    <w:rsid w:val="00812E17"/>
    <w:rsid w:val="00814B7C"/>
    <w:rsid w:val="00814DA0"/>
    <w:rsid w:val="008165E2"/>
    <w:rsid w:val="0081680E"/>
    <w:rsid w:val="00820FFC"/>
    <w:rsid w:val="00823109"/>
    <w:rsid w:val="008257E6"/>
    <w:rsid w:val="00827650"/>
    <w:rsid w:val="00831F19"/>
    <w:rsid w:val="008377F0"/>
    <w:rsid w:val="00843D50"/>
    <w:rsid w:val="00843FF0"/>
    <w:rsid w:val="008470E2"/>
    <w:rsid w:val="00853EFF"/>
    <w:rsid w:val="00874270"/>
    <w:rsid w:val="00875837"/>
    <w:rsid w:val="00876ED2"/>
    <w:rsid w:val="00881A1C"/>
    <w:rsid w:val="008854A6"/>
    <w:rsid w:val="0088746A"/>
    <w:rsid w:val="0089022B"/>
    <w:rsid w:val="008A3A8A"/>
    <w:rsid w:val="008A5379"/>
    <w:rsid w:val="008A6293"/>
    <w:rsid w:val="008B2D73"/>
    <w:rsid w:val="008B4D3E"/>
    <w:rsid w:val="008C04AD"/>
    <w:rsid w:val="008C36CB"/>
    <w:rsid w:val="008C697A"/>
    <w:rsid w:val="008D1A06"/>
    <w:rsid w:val="008D1BEE"/>
    <w:rsid w:val="008D3896"/>
    <w:rsid w:val="008D53B0"/>
    <w:rsid w:val="008D7064"/>
    <w:rsid w:val="008D7A9D"/>
    <w:rsid w:val="008E2141"/>
    <w:rsid w:val="008E5BA4"/>
    <w:rsid w:val="009104D6"/>
    <w:rsid w:val="009205D2"/>
    <w:rsid w:val="00921B10"/>
    <w:rsid w:val="009220D0"/>
    <w:rsid w:val="00934D21"/>
    <w:rsid w:val="00935267"/>
    <w:rsid w:val="009435B7"/>
    <w:rsid w:val="00951092"/>
    <w:rsid w:val="009560E0"/>
    <w:rsid w:val="009626F2"/>
    <w:rsid w:val="00963ED2"/>
    <w:rsid w:val="00965BEF"/>
    <w:rsid w:val="00965E5C"/>
    <w:rsid w:val="00971697"/>
    <w:rsid w:val="0097318D"/>
    <w:rsid w:val="009741DF"/>
    <w:rsid w:val="009774BB"/>
    <w:rsid w:val="00980122"/>
    <w:rsid w:val="00987810"/>
    <w:rsid w:val="0099140F"/>
    <w:rsid w:val="00995673"/>
    <w:rsid w:val="0099689B"/>
    <w:rsid w:val="009971C2"/>
    <w:rsid w:val="009A39FE"/>
    <w:rsid w:val="009A3A32"/>
    <w:rsid w:val="009A3A68"/>
    <w:rsid w:val="009A47BE"/>
    <w:rsid w:val="009A4C19"/>
    <w:rsid w:val="009B0E03"/>
    <w:rsid w:val="009B508E"/>
    <w:rsid w:val="009B60EE"/>
    <w:rsid w:val="009B6761"/>
    <w:rsid w:val="009B72AD"/>
    <w:rsid w:val="009B7616"/>
    <w:rsid w:val="009B7CE1"/>
    <w:rsid w:val="009C2E7D"/>
    <w:rsid w:val="009C4325"/>
    <w:rsid w:val="009C7D4F"/>
    <w:rsid w:val="009D19A6"/>
    <w:rsid w:val="009D3668"/>
    <w:rsid w:val="009D7733"/>
    <w:rsid w:val="009E0A44"/>
    <w:rsid w:val="009E1EC7"/>
    <w:rsid w:val="009E60A7"/>
    <w:rsid w:val="009F0B1D"/>
    <w:rsid w:val="009F5CC6"/>
    <w:rsid w:val="00A0055B"/>
    <w:rsid w:val="00A06638"/>
    <w:rsid w:val="00A07866"/>
    <w:rsid w:val="00A121E0"/>
    <w:rsid w:val="00A16B29"/>
    <w:rsid w:val="00A17354"/>
    <w:rsid w:val="00A22891"/>
    <w:rsid w:val="00A23431"/>
    <w:rsid w:val="00A30456"/>
    <w:rsid w:val="00A33173"/>
    <w:rsid w:val="00A44FD1"/>
    <w:rsid w:val="00A63459"/>
    <w:rsid w:val="00A63BB9"/>
    <w:rsid w:val="00A655D7"/>
    <w:rsid w:val="00A66FB6"/>
    <w:rsid w:val="00A674AA"/>
    <w:rsid w:val="00A679B2"/>
    <w:rsid w:val="00A71E40"/>
    <w:rsid w:val="00A72282"/>
    <w:rsid w:val="00A72C5C"/>
    <w:rsid w:val="00A8145E"/>
    <w:rsid w:val="00A839C1"/>
    <w:rsid w:val="00A843B6"/>
    <w:rsid w:val="00A86088"/>
    <w:rsid w:val="00A871D1"/>
    <w:rsid w:val="00A9011B"/>
    <w:rsid w:val="00A903A0"/>
    <w:rsid w:val="00A91F76"/>
    <w:rsid w:val="00A92890"/>
    <w:rsid w:val="00A92D71"/>
    <w:rsid w:val="00A970C8"/>
    <w:rsid w:val="00AA271B"/>
    <w:rsid w:val="00AA3273"/>
    <w:rsid w:val="00AA7CCE"/>
    <w:rsid w:val="00AB28FC"/>
    <w:rsid w:val="00AB2B45"/>
    <w:rsid w:val="00AC1BEC"/>
    <w:rsid w:val="00AC24E3"/>
    <w:rsid w:val="00AE2F92"/>
    <w:rsid w:val="00AE4050"/>
    <w:rsid w:val="00AE6E95"/>
    <w:rsid w:val="00AE7F1E"/>
    <w:rsid w:val="00AF55FE"/>
    <w:rsid w:val="00B00335"/>
    <w:rsid w:val="00B0120F"/>
    <w:rsid w:val="00B062C2"/>
    <w:rsid w:val="00B06810"/>
    <w:rsid w:val="00B10F28"/>
    <w:rsid w:val="00B15167"/>
    <w:rsid w:val="00B165E0"/>
    <w:rsid w:val="00B17819"/>
    <w:rsid w:val="00B17A76"/>
    <w:rsid w:val="00B25757"/>
    <w:rsid w:val="00B271A4"/>
    <w:rsid w:val="00B3021D"/>
    <w:rsid w:val="00B414AC"/>
    <w:rsid w:val="00B41D30"/>
    <w:rsid w:val="00B44470"/>
    <w:rsid w:val="00B46081"/>
    <w:rsid w:val="00B51DA0"/>
    <w:rsid w:val="00B51E38"/>
    <w:rsid w:val="00B52084"/>
    <w:rsid w:val="00B527F7"/>
    <w:rsid w:val="00B52E49"/>
    <w:rsid w:val="00B53C30"/>
    <w:rsid w:val="00B56144"/>
    <w:rsid w:val="00B61CF6"/>
    <w:rsid w:val="00B6782E"/>
    <w:rsid w:val="00B709E2"/>
    <w:rsid w:val="00B709FC"/>
    <w:rsid w:val="00B70F34"/>
    <w:rsid w:val="00B8067A"/>
    <w:rsid w:val="00B81B7C"/>
    <w:rsid w:val="00B8210E"/>
    <w:rsid w:val="00B9092C"/>
    <w:rsid w:val="00B94728"/>
    <w:rsid w:val="00B96A90"/>
    <w:rsid w:val="00BA0302"/>
    <w:rsid w:val="00BA0A1D"/>
    <w:rsid w:val="00BA7713"/>
    <w:rsid w:val="00BB44A5"/>
    <w:rsid w:val="00BB62C8"/>
    <w:rsid w:val="00BC40F0"/>
    <w:rsid w:val="00BC5D51"/>
    <w:rsid w:val="00BE1BE1"/>
    <w:rsid w:val="00BE3135"/>
    <w:rsid w:val="00BE4A0B"/>
    <w:rsid w:val="00BF0368"/>
    <w:rsid w:val="00BF5C18"/>
    <w:rsid w:val="00C05A9B"/>
    <w:rsid w:val="00C06766"/>
    <w:rsid w:val="00C07719"/>
    <w:rsid w:val="00C10A76"/>
    <w:rsid w:val="00C306DB"/>
    <w:rsid w:val="00C35D5D"/>
    <w:rsid w:val="00C364D6"/>
    <w:rsid w:val="00C41FA9"/>
    <w:rsid w:val="00C434B0"/>
    <w:rsid w:val="00C515BF"/>
    <w:rsid w:val="00C52A1F"/>
    <w:rsid w:val="00C567A3"/>
    <w:rsid w:val="00C57211"/>
    <w:rsid w:val="00C5747E"/>
    <w:rsid w:val="00C61290"/>
    <w:rsid w:val="00C63755"/>
    <w:rsid w:val="00C745ED"/>
    <w:rsid w:val="00C753C2"/>
    <w:rsid w:val="00C7560F"/>
    <w:rsid w:val="00C76465"/>
    <w:rsid w:val="00C82757"/>
    <w:rsid w:val="00C83C40"/>
    <w:rsid w:val="00C83FDD"/>
    <w:rsid w:val="00C85D8A"/>
    <w:rsid w:val="00C863D4"/>
    <w:rsid w:val="00C869AC"/>
    <w:rsid w:val="00CA0A54"/>
    <w:rsid w:val="00CB09CA"/>
    <w:rsid w:val="00CB0C69"/>
    <w:rsid w:val="00CB1D6E"/>
    <w:rsid w:val="00CB3256"/>
    <w:rsid w:val="00CC2894"/>
    <w:rsid w:val="00CC4038"/>
    <w:rsid w:val="00CC5805"/>
    <w:rsid w:val="00CD0F4A"/>
    <w:rsid w:val="00CE25DE"/>
    <w:rsid w:val="00CF15F8"/>
    <w:rsid w:val="00CF564F"/>
    <w:rsid w:val="00CF63D4"/>
    <w:rsid w:val="00D0436E"/>
    <w:rsid w:val="00D06B98"/>
    <w:rsid w:val="00D20AC2"/>
    <w:rsid w:val="00D2442B"/>
    <w:rsid w:val="00D27621"/>
    <w:rsid w:val="00D30E34"/>
    <w:rsid w:val="00D318F4"/>
    <w:rsid w:val="00D36154"/>
    <w:rsid w:val="00D366B3"/>
    <w:rsid w:val="00D37340"/>
    <w:rsid w:val="00D46B74"/>
    <w:rsid w:val="00D52159"/>
    <w:rsid w:val="00D548A9"/>
    <w:rsid w:val="00D55C24"/>
    <w:rsid w:val="00D63781"/>
    <w:rsid w:val="00D672A9"/>
    <w:rsid w:val="00D67539"/>
    <w:rsid w:val="00D746B3"/>
    <w:rsid w:val="00D746FC"/>
    <w:rsid w:val="00D76590"/>
    <w:rsid w:val="00D81063"/>
    <w:rsid w:val="00D8759A"/>
    <w:rsid w:val="00D87648"/>
    <w:rsid w:val="00D9080F"/>
    <w:rsid w:val="00D9327A"/>
    <w:rsid w:val="00D93A23"/>
    <w:rsid w:val="00D97195"/>
    <w:rsid w:val="00D971B4"/>
    <w:rsid w:val="00DA0B8E"/>
    <w:rsid w:val="00DA4FA5"/>
    <w:rsid w:val="00DB4759"/>
    <w:rsid w:val="00DB6188"/>
    <w:rsid w:val="00DB6874"/>
    <w:rsid w:val="00DB72F2"/>
    <w:rsid w:val="00DC088F"/>
    <w:rsid w:val="00DC2CC1"/>
    <w:rsid w:val="00DC7D38"/>
    <w:rsid w:val="00DD075B"/>
    <w:rsid w:val="00DD2032"/>
    <w:rsid w:val="00DD56FE"/>
    <w:rsid w:val="00DD667B"/>
    <w:rsid w:val="00DD6CC2"/>
    <w:rsid w:val="00DE24CB"/>
    <w:rsid w:val="00DE332A"/>
    <w:rsid w:val="00DE3B14"/>
    <w:rsid w:val="00DE3C7F"/>
    <w:rsid w:val="00DF1691"/>
    <w:rsid w:val="00DF3395"/>
    <w:rsid w:val="00DF74F0"/>
    <w:rsid w:val="00E00E61"/>
    <w:rsid w:val="00E0315F"/>
    <w:rsid w:val="00E03A96"/>
    <w:rsid w:val="00E13F48"/>
    <w:rsid w:val="00E1422B"/>
    <w:rsid w:val="00E20308"/>
    <w:rsid w:val="00E20818"/>
    <w:rsid w:val="00E212C3"/>
    <w:rsid w:val="00E23138"/>
    <w:rsid w:val="00E2757E"/>
    <w:rsid w:val="00E36242"/>
    <w:rsid w:val="00E41EB6"/>
    <w:rsid w:val="00E42EFD"/>
    <w:rsid w:val="00E43BF9"/>
    <w:rsid w:val="00E45A62"/>
    <w:rsid w:val="00E46181"/>
    <w:rsid w:val="00E50120"/>
    <w:rsid w:val="00E558F4"/>
    <w:rsid w:val="00E634E2"/>
    <w:rsid w:val="00E652AA"/>
    <w:rsid w:val="00E65E82"/>
    <w:rsid w:val="00E661C3"/>
    <w:rsid w:val="00E708A1"/>
    <w:rsid w:val="00E71BA9"/>
    <w:rsid w:val="00E80BAB"/>
    <w:rsid w:val="00E80D85"/>
    <w:rsid w:val="00E86A5F"/>
    <w:rsid w:val="00E870C1"/>
    <w:rsid w:val="00E873C2"/>
    <w:rsid w:val="00E91B7F"/>
    <w:rsid w:val="00E9328B"/>
    <w:rsid w:val="00EA03C9"/>
    <w:rsid w:val="00EA1878"/>
    <w:rsid w:val="00EA3766"/>
    <w:rsid w:val="00EA3C4D"/>
    <w:rsid w:val="00EA4E40"/>
    <w:rsid w:val="00EB25B2"/>
    <w:rsid w:val="00EB2665"/>
    <w:rsid w:val="00EB79FB"/>
    <w:rsid w:val="00EC1554"/>
    <w:rsid w:val="00EC7B9C"/>
    <w:rsid w:val="00ED3294"/>
    <w:rsid w:val="00ED56EF"/>
    <w:rsid w:val="00ED6A00"/>
    <w:rsid w:val="00EE413D"/>
    <w:rsid w:val="00EE5778"/>
    <w:rsid w:val="00EE6CC3"/>
    <w:rsid w:val="00EF11F9"/>
    <w:rsid w:val="00EF2030"/>
    <w:rsid w:val="00EF3DB4"/>
    <w:rsid w:val="00F00C18"/>
    <w:rsid w:val="00F012AE"/>
    <w:rsid w:val="00F03A19"/>
    <w:rsid w:val="00F04DC6"/>
    <w:rsid w:val="00F06DD0"/>
    <w:rsid w:val="00F079BE"/>
    <w:rsid w:val="00F104D7"/>
    <w:rsid w:val="00F13F34"/>
    <w:rsid w:val="00F25922"/>
    <w:rsid w:val="00F2686A"/>
    <w:rsid w:val="00F358A6"/>
    <w:rsid w:val="00F37E69"/>
    <w:rsid w:val="00F408D6"/>
    <w:rsid w:val="00F50C7B"/>
    <w:rsid w:val="00F51B87"/>
    <w:rsid w:val="00F523E5"/>
    <w:rsid w:val="00F525D7"/>
    <w:rsid w:val="00F54182"/>
    <w:rsid w:val="00F55939"/>
    <w:rsid w:val="00F702EB"/>
    <w:rsid w:val="00F71C18"/>
    <w:rsid w:val="00F72127"/>
    <w:rsid w:val="00F74217"/>
    <w:rsid w:val="00F74C73"/>
    <w:rsid w:val="00F74D3C"/>
    <w:rsid w:val="00F75283"/>
    <w:rsid w:val="00F753CF"/>
    <w:rsid w:val="00F76F11"/>
    <w:rsid w:val="00F82E0A"/>
    <w:rsid w:val="00F859D5"/>
    <w:rsid w:val="00F90260"/>
    <w:rsid w:val="00F91188"/>
    <w:rsid w:val="00F9140E"/>
    <w:rsid w:val="00F96274"/>
    <w:rsid w:val="00FB012D"/>
    <w:rsid w:val="00FB1075"/>
    <w:rsid w:val="00FB326A"/>
    <w:rsid w:val="00FB41D8"/>
    <w:rsid w:val="00FB6CB9"/>
    <w:rsid w:val="00FB7E61"/>
    <w:rsid w:val="00FC03D4"/>
    <w:rsid w:val="00FC08C3"/>
    <w:rsid w:val="00FC2612"/>
    <w:rsid w:val="00FC51A4"/>
    <w:rsid w:val="00FD1922"/>
    <w:rsid w:val="00FF06BE"/>
    <w:rsid w:val="00FF6A3B"/>
    <w:rsid w:val="01620CCB"/>
    <w:rsid w:val="03EA5E31"/>
    <w:rsid w:val="08856873"/>
    <w:rsid w:val="0CF74D52"/>
    <w:rsid w:val="0D2C77AB"/>
    <w:rsid w:val="0F221997"/>
    <w:rsid w:val="12C053F6"/>
    <w:rsid w:val="14853500"/>
    <w:rsid w:val="17282A4B"/>
    <w:rsid w:val="18615BA5"/>
    <w:rsid w:val="1A18588D"/>
    <w:rsid w:val="1D3764EC"/>
    <w:rsid w:val="1D6B3E74"/>
    <w:rsid w:val="1EAF5E80"/>
    <w:rsid w:val="1EC9725C"/>
    <w:rsid w:val="1F4F2893"/>
    <w:rsid w:val="22D01D28"/>
    <w:rsid w:val="230279FC"/>
    <w:rsid w:val="24EB531E"/>
    <w:rsid w:val="27E43805"/>
    <w:rsid w:val="298E504E"/>
    <w:rsid w:val="2C164A61"/>
    <w:rsid w:val="2CA93F28"/>
    <w:rsid w:val="2D11683F"/>
    <w:rsid w:val="2E8669ED"/>
    <w:rsid w:val="2EEE5D6C"/>
    <w:rsid w:val="2EF91B96"/>
    <w:rsid w:val="319F21CD"/>
    <w:rsid w:val="31F8168C"/>
    <w:rsid w:val="3204001F"/>
    <w:rsid w:val="36C53ABF"/>
    <w:rsid w:val="375201D1"/>
    <w:rsid w:val="3B582897"/>
    <w:rsid w:val="3D382353"/>
    <w:rsid w:val="3D535F9D"/>
    <w:rsid w:val="3FD006AE"/>
    <w:rsid w:val="42C42797"/>
    <w:rsid w:val="452B5D7F"/>
    <w:rsid w:val="45A63B54"/>
    <w:rsid w:val="49512353"/>
    <w:rsid w:val="4C7D1D40"/>
    <w:rsid w:val="4D566D88"/>
    <w:rsid w:val="4E0A1CCE"/>
    <w:rsid w:val="4E3E09D7"/>
    <w:rsid w:val="4EBA011B"/>
    <w:rsid w:val="550F2A2A"/>
    <w:rsid w:val="56AA5F1D"/>
    <w:rsid w:val="58A85EDA"/>
    <w:rsid w:val="5D8F4085"/>
    <w:rsid w:val="5DBD65E1"/>
    <w:rsid w:val="5E875156"/>
    <w:rsid w:val="61AC5E56"/>
    <w:rsid w:val="64CF7769"/>
    <w:rsid w:val="662B1A25"/>
    <w:rsid w:val="670A62A9"/>
    <w:rsid w:val="67F07D06"/>
    <w:rsid w:val="67FA4E17"/>
    <w:rsid w:val="698620E4"/>
    <w:rsid w:val="6CBB5683"/>
    <w:rsid w:val="6F3E5C10"/>
    <w:rsid w:val="6FA03D02"/>
    <w:rsid w:val="700774FB"/>
    <w:rsid w:val="706973C4"/>
    <w:rsid w:val="712C13B5"/>
    <w:rsid w:val="73D53C4C"/>
    <w:rsid w:val="750C315D"/>
    <w:rsid w:val="755574B4"/>
    <w:rsid w:val="75826788"/>
    <w:rsid w:val="76D03031"/>
    <w:rsid w:val="76F90919"/>
    <w:rsid w:val="7762556B"/>
    <w:rsid w:val="795311EB"/>
    <w:rsid w:val="7A376627"/>
    <w:rsid w:val="7AB06FCE"/>
    <w:rsid w:val="7AD0650C"/>
    <w:rsid w:val="7BCE722D"/>
    <w:rsid w:val="7F5B0B7E"/>
    <w:rsid w:val="7F60051F"/>
    <w:rsid w:val="7FAE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kern w:val="0"/>
      <w:sz w:val="24"/>
    </w:rPr>
  </w:style>
  <w:style w:type="character" w:styleId="9">
    <w:name w:val="page number"/>
    <w:basedOn w:val="8"/>
    <w:uiPriority w:val="0"/>
  </w:style>
  <w:style w:type="paragraph" w:customStyle="1" w:styleId="10">
    <w:name w:val="Char Char Char Char Char Char Char Char Char Char Char Char Char Char Char Char"/>
    <w:basedOn w:val="1"/>
    <w:qFormat/>
    <w:uiPriority w:val="0"/>
    <w:pPr>
      <w:tabs>
        <w:tab w:val="left" w:pos="360"/>
      </w:tabs>
    </w:pPr>
    <w:rPr>
      <w:sz w:val="24"/>
    </w:rPr>
  </w:style>
  <w:style w:type="paragraph" w:customStyle="1" w:styleId="11">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2">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1627</Words>
  <Characters>9276</Characters>
  <Lines>77</Lines>
  <Paragraphs>21</Paragraphs>
  <TotalTime>41727</TotalTime>
  <ScaleCrop>false</ScaleCrop>
  <LinksUpToDate>false</LinksUpToDate>
  <CharactersWithSpaces>10882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2021-01-23T03:03:00Z</dcterms:created>
  <dc:creator>Administrator</dc:creator>
  <cp:lastModifiedBy>86185</cp:lastModifiedBy>
  <cp:lastPrinted>2011-02-01T08:29:00Z</cp:lastPrinted>
  <dcterms:modified xsi:type="dcterms:W3CDTF">2021-03-03T02:25:57Z</dcterms:modified>
  <dc:title>2015年***部门决算</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