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7"/>
        <w:spacing w:line="520" w:lineRule="exact"/>
        <w:jc w:val="left"/>
        <w:rPr>
          <w:rFonts w:ascii="黑体" w:eastAsia="黑体"/>
          <w:sz w:val="32"/>
          <w:szCs w:val="32"/>
          <w:lang w:val="zh-CN"/>
        </w:rPr>
      </w:pPr>
      <w:r>
        <w:rPr>
          <w:rFonts w:hint="eastAsia" w:ascii="黑体" w:eastAsia="黑体"/>
          <w:sz w:val="32"/>
          <w:szCs w:val="32"/>
          <w:lang w:val="zh-CN"/>
        </w:rPr>
        <w:t>附件</w:t>
      </w:r>
      <w:r>
        <w:rPr>
          <w:rFonts w:hint="eastAsia" w:ascii="黑体" w:eastAsia="黑体"/>
          <w:sz w:val="32"/>
          <w:szCs w:val="32"/>
        </w:rPr>
        <w:t>9</w:t>
      </w:r>
    </w:p>
    <w:p>
      <w:pPr>
        <w:pStyle w:val="47"/>
        <w:spacing w:line="520" w:lineRule="exact"/>
        <w:rPr>
          <w:rFonts w:ascii="宋体" w:hAnsi="宋体" w:eastAsia="宋体" w:cs="宋体"/>
        </w:rPr>
      </w:pPr>
    </w:p>
    <w:p>
      <w:pPr>
        <w:pStyle w:val="47"/>
        <w:spacing w:line="520" w:lineRule="exact"/>
        <w:rPr>
          <w:rFonts w:ascii="宋体" w:hAnsi="宋体" w:eastAsia="宋体" w:cs="宋体"/>
        </w:rPr>
      </w:pPr>
    </w:p>
    <w:p>
      <w:pPr>
        <w:pStyle w:val="47"/>
        <w:spacing w:line="520" w:lineRule="exact"/>
        <w:jc w:val="both"/>
        <w:rPr>
          <w:rFonts w:ascii="宋体" w:hAnsi="宋体" w:eastAsia="宋体" w:cs="宋体"/>
        </w:rPr>
      </w:pPr>
    </w:p>
    <w:p>
      <w:pPr>
        <w:pStyle w:val="47"/>
        <w:spacing w:line="520" w:lineRule="exact"/>
        <w:rPr>
          <w:rFonts w:hint="default" w:ascii="宋体" w:hAnsi="宋体" w:eastAsia="宋体" w:cs="宋体"/>
          <w:lang w:val="en-US" w:eastAsia="zh-CN"/>
        </w:rPr>
      </w:pPr>
      <w:r>
        <w:rPr>
          <w:rFonts w:hint="eastAsia" w:ascii="宋体" w:hAnsi="宋体" w:eastAsia="宋体" w:cs="宋体"/>
          <w:lang w:val="en-US" w:eastAsia="zh-CN"/>
        </w:rPr>
        <w:t xml:space="preserve"> </w:t>
      </w:r>
      <w:bookmarkStart w:id="102" w:name="_GoBack"/>
      <w:bookmarkEnd w:id="102"/>
    </w:p>
    <w:p>
      <w:pPr>
        <w:pStyle w:val="47"/>
        <w:spacing w:line="520" w:lineRule="exact"/>
        <w:rPr>
          <w:rFonts w:ascii="宋体" w:hAnsi="宋体" w:eastAsia="宋体" w:cs="宋体"/>
        </w:rPr>
      </w:pPr>
    </w:p>
    <w:p>
      <w:pPr>
        <w:pStyle w:val="47"/>
        <w:spacing w:line="520" w:lineRule="exact"/>
        <w:rPr>
          <w:rFonts w:ascii="宋体" w:hAnsi="宋体" w:eastAsia="宋体" w:cs="宋体"/>
        </w:rPr>
      </w:pPr>
    </w:p>
    <w:p>
      <w:pPr>
        <w:pStyle w:val="47"/>
        <w:spacing w:line="520" w:lineRule="exact"/>
        <w:rPr>
          <w:rFonts w:ascii="宋体" w:hAnsi="宋体" w:eastAsia="宋体" w:cs="宋体"/>
        </w:rPr>
      </w:pPr>
    </w:p>
    <w:p>
      <w:pPr>
        <w:pStyle w:val="47"/>
        <w:spacing w:line="520" w:lineRule="exact"/>
        <w:rPr>
          <w:rFonts w:ascii="宋体" w:hAnsi="宋体" w:eastAsia="宋体" w:cs="宋体"/>
        </w:rPr>
      </w:pPr>
    </w:p>
    <w:p>
      <w:pPr>
        <w:pStyle w:val="47"/>
        <w:spacing w:line="520" w:lineRule="exact"/>
        <w:rPr>
          <w:rFonts w:ascii="宋体" w:hAnsi="宋体" w:eastAsia="宋体" w:cs="宋体"/>
        </w:rPr>
      </w:pPr>
    </w:p>
    <w:p>
      <w:pPr>
        <w:spacing w:line="520" w:lineRule="exact"/>
        <w:ind w:left="880" w:hanging="880"/>
        <w:jc w:val="center"/>
        <w:rPr>
          <w:rFonts w:ascii="方正小标宋_GBK" w:eastAsia="方正小标宋_GBK" w:cs="文星简黑体"/>
          <w:sz w:val="44"/>
          <w:szCs w:val="44"/>
        </w:rPr>
      </w:pPr>
      <w:r>
        <w:rPr>
          <w:rFonts w:hint="eastAsia" w:ascii="宋体" w:hAnsi="宋体"/>
          <w:b/>
          <w:sz w:val="44"/>
          <w:szCs w:val="44"/>
        </w:rPr>
        <w:t>2021</w:t>
      </w:r>
      <w:r>
        <w:rPr>
          <w:rFonts w:hint="eastAsia" w:ascii="方正小标宋_GBK" w:eastAsia="方正小标宋_GBK" w:cs="文星简黑体"/>
          <w:sz w:val="44"/>
          <w:szCs w:val="44"/>
        </w:rPr>
        <w:t>年度城阳区人民检察院</w:t>
      </w:r>
    </w:p>
    <w:p>
      <w:pPr>
        <w:spacing w:line="520" w:lineRule="exact"/>
        <w:ind w:left="880" w:hanging="880"/>
        <w:jc w:val="center"/>
        <w:rPr>
          <w:rFonts w:ascii="方正小标宋_GBK" w:eastAsia="方正小标宋_GBK" w:cs="文星简黑体"/>
          <w:sz w:val="44"/>
          <w:szCs w:val="44"/>
        </w:rPr>
      </w:pPr>
      <w:r>
        <w:rPr>
          <w:rFonts w:hint="eastAsia" w:ascii="方正小标宋_GBK" w:eastAsia="方正小标宋_GBK" w:cs="文星简黑体"/>
          <w:sz w:val="44"/>
          <w:szCs w:val="44"/>
        </w:rPr>
        <w:t>整体支出绩效评价报告</w:t>
      </w:r>
    </w:p>
    <w:p>
      <w:pPr>
        <w:spacing w:line="520" w:lineRule="exact"/>
        <w:ind w:left="880" w:hanging="880"/>
        <w:jc w:val="center"/>
        <w:rPr>
          <w:rFonts w:ascii="方正小标宋_GBK" w:eastAsia="方正小标宋_GBK" w:cs="文星简黑体"/>
          <w:sz w:val="44"/>
          <w:szCs w:val="44"/>
        </w:rPr>
      </w:pPr>
    </w:p>
    <w:p>
      <w:pPr>
        <w:spacing w:line="520" w:lineRule="exact"/>
        <w:ind w:left="1040" w:hanging="1040"/>
        <w:jc w:val="right"/>
        <w:rPr>
          <w:rFonts w:ascii="文星简黑体" w:eastAsia="文星简黑体"/>
          <w:sz w:val="52"/>
          <w:szCs w:val="52"/>
        </w:rPr>
      </w:pPr>
    </w:p>
    <w:p>
      <w:pPr>
        <w:spacing w:line="520" w:lineRule="exact"/>
        <w:ind w:left="1040" w:hanging="1040"/>
        <w:jc w:val="center"/>
        <w:rPr>
          <w:rFonts w:ascii="文星简黑体" w:eastAsia="文星简黑体"/>
          <w:sz w:val="52"/>
          <w:szCs w:val="52"/>
        </w:rPr>
      </w:pPr>
    </w:p>
    <w:p>
      <w:pPr>
        <w:spacing w:line="520" w:lineRule="exact"/>
        <w:ind w:left="1040" w:hanging="1040"/>
        <w:jc w:val="center"/>
        <w:rPr>
          <w:rFonts w:ascii="文星简黑体" w:eastAsia="文星简黑体"/>
          <w:sz w:val="52"/>
          <w:szCs w:val="52"/>
        </w:rPr>
      </w:pPr>
    </w:p>
    <w:p>
      <w:pPr>
        <w:spacing w:before="120" w:after="120" w:line="520" w:lineRule="exact"/>
        <w:ind w:left="2240" w:hanging="2240" w:hangingChars="700"/>
        <w:rPr>
          <w:rFonts w:ascii="黑体" w:hAnsi="黑体" w:eastAsia="黑体"/>
          <w:sz w:val="32"/>
          <w:szCs w:val="32"/>
        </w:rPr>
      </w:pPr>
      <w:r>
        <w:rPr>
          <w:rFonts w:hint="eastAsia" w:ascii="黑体" w:hAnsi="黑体" w:eastAsia="黑体" w:cs="文星简黑体"/>
          <w:sz w:val="32"/>
          <w:szCs w:val="32"/>
        </w:rPr>
        <w:t>被评价单位：城阳区人民检察院</w:t>
      </w:r>
    </w:p>
    <w:p>
      <w:pPr>
        <w:spacing w:before="120" w:after="120" w:line="520" w:lineRule="exact"/>
        <w:ind w:left="640" w:hanging="640"/>
        <w:jc w:val="left"/>
        <w:rPr>
          <w:rFonts w:ascii="黑体" w:hAnsi="黑体" w:eastAsia="黑体"/>
          <w:sz w:val="32"/>
          <w:szCs w:val="32"/>
        </w:rPr>
      </w:pPr>
      <w:r>
        <w:rPr>
          <w:rFonts w:hint="eastAsia" w:ascii="黑体" w:hAnsi="黑体" w:eastAsia="黑体" w:cs="文星简黑体"/>
          <w:spacing w:val="53"/>
          <w:kern w:val="0"/>
          <w:sz w:val="32"/>
          <w:szCs w:val="32"/>
          <w:fitText w:val="1600" w:id="0"/>
        </w:rPr>
        <w:t>评价单</w:t>
      </w:r>
      <w:r>
        <w:rPr>
          <w:rFonts w:hint="eastAsia" w:ascii="黑体" w:hAnsi="黑体" w:eastAsia="黑体" w:cs="文星简黑体"/>
          <w:spacing w:val="1"/>
          <w:kern w:val="0"/>
          <w:sz w:val="32"/>
          <w:szCs w:val="32"/>
          <w:fitText w:val="1600" w:id="0"/>
        </w:rPr>
        <w:t>位</w:t>
      </w:r>
      <w:r>
        <w:rPr>
          <w:rFonts w:hint="eastAsia" w:ascii="黑体" w:hAnsi="黑体" w:eastAsia="黑体" w:cs="文星简黑体"/>
          <w:sz w:val="32"/>
          <w:szCs w:val="32"/>
        </w:rPr>
        <w:t>：城阳区人民检察院</w:t>
      </w:r>
    </w:p>
    <w:p>
      <w:pPr>
        <w:spacing w:before="120" w:after="120" w:line="520" w:lineRule="exact"/>
        <w:ind w:left="640" w:hanging="640"/>
        <w:jc w:val="center"/>
        <w:rPr>
          <w:rFonts w:ascii="黑体" w:hAnsi="黑体" w:eastAsia="黑体"/>
          <w:sz w:val="32"/>
          <w:szCs w:val="32"/>
        </w:rPr>
      </w:pPr>
    </w:p>
    <w:p>
      <w:pPr>
        <w:spacing w:before="120" w:after="120" w:line="520" w:lineRule="exact"/>
        <w:rPr>
          <w:rFonts w:ascii="黑体" w:hAnsi="黑体" w:eastAsia="黑体"/>
          <w:sz w:val="32"/>
          <w:szCs w:val="32"/>
        </w:rPr>
      </w:pPr>
    </w:p>
    <w:p>
      <w:pPr>
        <w:spacing w:before="120" w:after="120" w:line="520" w:lineRule="exact"/>
        <w:jc w:val="center"/>
        <w:rPr>
          <w:rFonts w:ascii="黑体" w:hAnsi="黑体" w:eastAsia="黑体" w:cs="文星简黑体"/>
          <w:sz w:val="32"/>
          <w:szCs w:val="32"/>
        </w:rPr>
      </w:pPr>
      <w:r>
        <w:rPr>
          <w:rFonts w:hint="eastAsia" w:ascii="黑体" w:hAnsi="黑体" w:eastAsia="黑体" w:cs="文星简黑体"/>
          <w:sz w:val="32"/>
          <w:szCs w:val="32"/>
        </w:rPr>
        <w:t>2022年4月</w:t>
      </w:r>
    </w:p>
    <w:p>
      <w:pPr>
        <w:spacing w:before="120" w:after="120" w:line="520" w:lineRule="exact"/>
        <w:jc w:val="center"/>
        <w:rPr>
          <w:rFonts w:ascii="黑体" w:hAnsi="黑体" w:eastAsia="黑体" w:cs="文星简黑体"/>
          <w:sz w:val="32"/>
          <w:szCs w:val="32"/>
        </w:rPr>
      </w:pPr>
    </w:p>
    <w:p>
      <w:pPr>
        <w:widowControl/>
        <w:spacing w:line="520" w:lineRule="exact"/>
        <w:jc w:val="left"/>
        <w:rPr>
          <w:rFonts w:ascii="Times New Roman" w:hAnsi="Times New Roman" w:eastAsia="黑体" w:cs="Times New Roman"/>
          <w:b/>
          <w:kern w:val="0"/>
          <w:sz w:val="28"/>
          <w:szCs w:val="28"/>
          <w:lang w:val="zh-CN"/>
        </w:rPr>
      </w:pPr>
    </w:p>
    <w:p>
      <w:pPr>
        <w:widowControl/>
        <w:jc w:val="left"/>
        <w:rPr>
          <w:rFonts w:ascii="Times New Roman" w:hAnsi="Times New Roman" w:eastAsia="黑体" w:cs="Times New Roman"/>
          <w:b/>
          <w:kern w:val="0"/>
          <w:sz w:val="28"/>
          <w:szCs w:val="28"/>
          <w:lang w:val="zh-CN"/>
        </w:rPr>
        <w:sectPr>
          <w:footnotePr>
            <w:numRestart w:val="eachPage"/>
          </w:footnotePr>
          <w:pgSz w:w="11906" w:h="16838"/>
          <w:pgMar w:top="1440" w:right="1800" w:bottom="1440" w:left="1800" w:header="851" w:footer="992" w:gutter="0"/>
          <w:cols w:space="720" w:num="1"/>
        </w:sectPr>
      </w:pPr>
    </w:p>
    <w:p>
      <w:pPr>
        <w:pStyle w:val="4"/>
        <w:spacing w:line="520" w:lineRule="exact"/>
        <w:ind w:firstLine="883"/>
        <w:jc w:val="center"/>
        <w:rPr>
          <w:rFonts w:eastAsia="黑体"/>
          <w:b/>
          <w:bCs/>
          <w:sz w:val="30"/>
          <w:szCs w:val="30"/>
          <w:lang w:val="en-US"/>
        </w:rPr>
      </w:pPr>
      <w:r>
        <w:rPr>
          <w:rFonts w:hint="eastAsia" w:ascii="宋体" w:hAnsi="宋体"/>
          <w:b/>
          <w:sz w:val="44"/>
          <w:szCs w:val="44"/>
        </w:rPr>
        <w:t>2021年度城阳区人民检察院整体支出绩效评价报告</w:t>
      </w:r>
    </w:p>
    <w:p>
      <w:pPr>
        <w:pStyle w:val="3"/>
        <w:numPr>
          <w:ilvl w:val="0"/>
          <w:numId w:val="2"/>
        </w:numPr>
        <w:spacing w:line="520" w:lineRule="exact"/>
        <w:ind w:left="0" w:firstLine="640"/>
        <w:rPr>
          <w:lang w:val="en-US"/>
        </w:rPr>
      </w:pPr>
      <w:r>
        <w:rPr>
          <w:rFonts w:hint="eastAsia"/>
          <w:lang w:val="en-US"/>
        </w:rPr>
        <w:t>部门概况</w:t>
      </w:r>
    </w:p>
    <w:p>
      <w:pPr>
        <w:pStyle w:val="6"/>
        <w:numPr>
          <w:ilvl w:val="0"/>
          <w:numId w:val="0"/>
        </w:numPr>
        <w:spacing w:line="520" w:lineRule="exact"/>
        <w:ind w:firstLine="640" w:firstLineChars="200"/>
        <w:rPr>
          <w:rFonts w:ascii="仿宋_GB2312" w:hAnsi="仿宋_GB2312" w:cs="仿宋_GB2312"/>
          <w:b w:val="0"/>
          <w:bCs w:val="0"/>
          <w:sz w:val="32"/>
          <w:lang w:val="en-US"/>
        </w:rPr>
      </w:pPr>
      <w:r>
        <w:rPr>
          <w:rFonts w:hint="eastAsia" w:eastAsia="楷体_GB2312"/>
          <w:b w:val="0"/>
          <w:sz w:val="32"/>
          <w:lang w:val="en-US"/>
        </w:rPr>
        <w:t>（一）</w:t>
      </w:r>
      <w:r>
        <w:rPr>
          <w:rFonts w:hint="eastAsia" w:eastAsia="楷体_GB2312"/>
          <w:sz w:val="32"/>
        </w:rPr>
        <w:t>部门职能、架构及战略目标。</w:t>
      </w:r>
    </w:p>
    <w:p>
      <w:pPr>
        <w:spacing w:line="580" w:lineRule="exact"/>
        <w:ind w:firstLine="320" w:firstLineChars="100"/>
        <w:rPr>
          <w:rFonts w:ascii="仿宋_GB2312" w:hAnsi="等线" w:eastAsia="仿宋_GB2312" w:cs="Times New Roman"/>
          <w:sz w:val="32"/>
          <w:szCs w:val="32"/>
        </w:rPr>
      </w:pPr>
      <w:r>
        <w:rPr>
          <w:rFonts w:hint="eastAsia" w:ascii="仿宋_GB2312" w:hAnsi="等线" w:eastAsia="仿宋_GB2312" w:cs="Times New Roman"/>
          <w:sz w:val="32"/>
          <w:szCs w:val="32"/>
        </w:rPr>
        <w:t>城阳区人民检察院是依法履行法律监督职能，保证国家宪法和法律正确实施的法律监督机关。主要职责是：（一）对本辖区的刑事犯罪案件依法审查批准逮捕、依法审查起诉、</w:t>
      </w:r>
      <w:r>
        <w:rPr>
          <w:rFonts w:hint="eastAsia" w:ascii="仿宋_GB2312" w:hAnsi="等线" w:eastAsia="仿宋_GB2312" w:cs="Times New Roman"/>
          <w:bCs/>
          <w:color w:val="000000"/>
          <w:sz w:val="32"/>
          <w:szCs w:val="32"/>
        </w:rPr>
        <w:t>出庭支持公诉、</w:t>
      </w:r>
      <w:r>
        <w:rPr>
          <w:rFonts w:hint="eastAsia" w:ascii="仿宋_GB2312" w:hAnsi="等线" w:eastAsia="仿宋_GB2312" w:cs="Times New Roman"/>
          <w:sz w:val="32"/>
          <w:szCs w:val="32"/>
        </w:rPr>
        <w:t>抗诉，开展相关立案</w:t>
      </w:r>
      <w:r>
        <w:rPr>
          <w:rFonts w:hint="eastAsia" w:ascii="仿宋_GB2312" w:hAnsi="等线" w:eastAsia="仿宋_GB2312" w:cs="Times New Roman"/>
          <w:bCs/>
          <w:color w:val="000000"/>
          <w:sz w:val="32"/>
          <w:szCs w:val="32"/>
        </w:rPr>
        <w:t>监督、侦查监督、审判监督以及相关案件的补充侦查；开展未成年人司法保护和预防未成年人犯罪工作；办理我院管辖的相关刑事申诉案件。</w:t>
      </w:r>
      <w:r>
        <w:rPr>
          <w:rFonts w:hint="eastAsia" w:ascii="仿宋_GB2312" w:hAnsi="等线" w:eastAsia="仿宋_GB2312" w:cs="Times New Roman"/>
          <w:sz w:val="32"/>
          <w:szCs w:val="32"/>
        </w:rPr>
        <w:t>（二）</w:t>
      </w:r>
      <w:r>
        <w:rPr>
          <w:rFonts w:hint="eastAsia" w:ascii="仿宋_GB2312" w:hAnsi="等线" w:eastAsia="仿宋_GB2312" w:cs="Times New Roman"/>
          <w:bCs/>
          <w:color w:val="000000"/>
          <w:sz w:val="32"/>
          <w:szCs w:val="32"/>
        </w:rPr>
        <w:t>负责对监狱、看守所和社区矫正机构等执法活动的监督，对刑事判决、裁定执行、强制医疗执行、羁押和办案期限的监督，羁押必要性审查。</w:t>
      </w:r>
      <w:r>
        <w:rPr>
          <w:rFonts w:hint="eastAsia" w:ascii="仿宋_GB2312" w:hAnsi="等线" w:eastAsia="仿宋_GB2312" w:cs="Times New Roman"/>
          <w:sz w:val="32"/>
          <w:szCs w:val="32"/>
        </w:rPr>
        <w:t>（三）</w:t>
      </w:r>
      <w:r>
        <w:rPr>
          <w:rFonts w:hint="eastAsia" w:ascii="仿宋_GB2312" w:hAnsi="等线" w:eastAsia="仿宋_GB2312" w:cs="Times New Roman"/>
          <w:bCs/>
          <w:color w:val="000000"/>
          <w:sz w:val="32"/>
          <w:szCs w:val="32"/>
        </w:rPr>
        <w:t>负责对同级人民法院已经发生法律效力、确有错误的民事、行政、公益诉讼判决、裁定和调解书，提请市级人民检察院按照审判监督程序提出抗诉，或者向同级人民法院提出检察建议；对同级人民法院管辖的行政公益诉讼、刑事附带民事公益诉讼案件向同级人民法院提起诉讼；对同级人民法院开庭审理的民事、行政、公益诉讼抗诉案件，出庭履行职务；对同级人民法院民事、行政、公益诉讼案件的执行活动实行法律监督；对同级人民法院审判监督程序以外的其他审判程序中审判人员的违法行为依法进行监督；支持法律规定的机关和组织</w:t>
      </w:r>
      <w:r>
        <w:rPr>
          <w:rFonts w:hint="eastAsia" w:ascii="仿宋_GB2312" w:hAnsi="仿宋" w:eastAsia="仿宋_GB2312" w:cs="Times New Roman"/>
          <w:bCs/>
          <w:color w:val="000000"/>
          <w:sz w:val="32"/>
          <w:szCs w:val="32"/>
        </w:rPr>
        <w:t>提起民事公益诉讼。</w:t>
      </w:r>
      <w:r>
        <w:rPr>
          <w:rFonts w:hint="eastAsia" w:ascii="仿宋_GB2312" w:hAnsi="等线" w:eastAsia="仿宋_GB2312" w:cs="Times New Roman"/>
          <w:sz w:val="32"/>
          <w:szCs w:val="32"/>
        </w:rPr>
        <w:t>（四）</w:t>
      </w:r>
      <w:r>
        <w:rPr>
          <w:rFonts w:hint="eastAsia" w:ascii="仿宋_GB2312" w:hAnsi="仿宋" w:eastAsia="仿宋_GB2312" w:cs="Times New Roman"/>
          <w:bCs/>
          <w:color w:val="000000"/>
          <w:sz w:val="32"/>
          <w:szCs w:val="32"/>
        </w:rPr>
        <w:t>负责受理向我院的控告和申诉。承办我院管辖的国家赔偿案件和国家司法救助案件。</w:t>
      </w:r>
      <w:r>
        <w:rPr>
          <w:rFonts w:hint="eastAsia" w:ascii="仿宋_GB2312" w:hAnsi="仿宋" w:eastAsia="仿宋_GB2312" w:cs="Times New Roman"/>
          <w:sz w:val="32"/>
          <w:szCs w:val="32"/>
        </w:rPr>
        <w:t>（五）承办区委和市人民检察院交办的其他工作。</w:t>
      </w:r>
    </w:p>
    <w:p>
      <w:pPr>
        <w:widowControl/>
        <w:spacing w:line="540" w:lineRule="atLeast"/>
        <w:ind w:firstLine="480" w:firstLineChars="15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根据国家司法体制改革的要求，城阳区人民检察院根据编办批复共设置</w:t>
      </w:r>
      <w:r>
        <w:rPr>
          <w:rFonts w:hint="eastAsia" w:ascii="仿宋_GB2312" w:hAnsi="宋体" w:eastAsia="仿宋_GB2312" w:cs="宋体"/>
          <w:b/>
          <w:kern w:val="0"/>
          <w:sz w:val="32"/>
          <w:szCs w:val="32"/>
        </w:rPr>
        <w:t>8</w:t>
      </w:r>
      <w:r>
        <w:rPr>
          <w:rFonts w:hint="eastAsia" w:ascii="仿宋_GB2312" w:hAnsi="宋体" w:eastAsia="仿宋_GB2312" w:cs="宋体"/>
          <w:kern w:val="0"/>
          <w:sz w:val="32"/>
          <w:szCs w:val="32"/>
        </w:rPr>
        <w:t>个内设机构及一个下属事业单位（城阳区人民检察院检察信息技术综合保障中心）。分别为：办公室、第一检察部、第二检察部、第三检察部、第四检察部、第五检察部、检察业务管理部、政治部及城阳区人民检察院检察信息技术综合保障中心。</w:t>
      </w:r>
    </w:p>
    <w:p>
      <w:pPr>
        <w:widowControl/>
        <w:spacing w:line="540" w:lineRule="atLeast"/>
        <w:ind w:firstLine="480" w:firstLineChars="150"/>
        <w:jc w:val="left"/>
        <w:rPr>
          <w:rFonts w:ascii="仿宋_GB2312" w:hAnsi="宋体" w:eastAsia="仿宋_GB2312" w:cs="宋体"/>
          <w:kern w:val="0"/>
          <w:sz w:val="32"/>
          <w:szCs w:val="32"/>
        </w:rPr>
      </w:pPr>
      <w:r>
        <w:rPr>
          <w:rFonts w:hint="eastAsia" w:eastAsia="楷体_GB2312"/>
          <w:sz w:val="32"/>
        </w:rPr>
        <w:t>（二）部门预算及支出情况</w:t>
      </w:r>
    </w:p>
    <w:p>
      <w:pPr>
        <w:spacing w:line="59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1.部门单位收支总体情况。2021年度，区检察院年初预算3903.5</w:t>
      </w:r>
      <w:r>
        <w:rPr>
          <w:rFonts w:hint="eastAsia" w:ascii="仿宋_GB2312" w:hAnsi="仿宋_GB2312" w:eastAsia="仿宋_GB2312" w:cs="仿宋_GB2312"/>
          <w:spacing w:val="-4"/>
          <w:sz w:val="32"/>
          <w:szCs w:val="32"/>
          <w:lang w:val="en-US" w:eastAsia="zh-CN"/>
        </w:rPr>
        <w:t>6</w:t>
      </w:r>
      <w:r>
        <w:rPr>
          <w:rFonts w:hint="eastAsia" w:ascii="仿宋_GB2312" w:hAnsi="仿宋_GB2312" w:eastAsia="仿宋_GB2312" w:cs="仿宋_GB2312"/>
          <w:spacing w:val="-4"/>
          <w:sz w:val="32"/>
          <w:szCs w:val="32"/>
        </w:rPr>
        <w:t>万元，年中预算调整数256.7</w:t>
      </w:r>
      <w:r>
        <w:rPr>
          <w:rFonts w:hint="eastAsia" w:ascii="仿宋_GB2312" w:hAnsi="仿宋_GB2312" w:eastAsia="仿宋_GB2312" w:cs="仿宋_GB2312"/>
          <w:spacing w:val="-4"/>
          <w:sz w:val="32"/>
          <w:szCs w:val="32"/>
          <w:lang w:val="en-US" w:eastAsia="zh-CN"/>
        </w:rPr>
        <w:t>4</w:t>
      </w:r>
      <w:r>
        <w:rPr>
          <w:rFonts w:hint="eastAsia" w:ascii="仿宋_GB2312" w:hAnsi="仿宋_GB2312" w:eastAsia="仿宋_GB2312" w:cs="仿宋_GB2312"/>
          <w:spacing w:val="-4"/>
          <w:sz w:val="32"/>
          <w:szCs w:val="32"/>
        </w:rPr>
        <w:t>万元，调整后预算数4160.3万元，决算金额数4160.3万元，预算执行率10</w:t>
      </w:r>
      <w:r>
        <w:rPr>
          <w:rFonts w:hint="eastAsia" w:ascii="仿宋_GB2312" w:hAnsi="仿宋_GB2312" w:eastAsia="仿宋_GB2312" w:cs="仿宋_GB2312"/>
          <w:spacing w:val="-4"/>
          <w:sz w:val="32"/>
          <w:szCs w:val="32"/>
          <w:lang w:val="en-US" w:eastAsia="zh-CN"/>
        </w:rPr>
        <w:t>0</w:t>
      </w:r>
      <w:r>
        <w:rPr>
          <w:rFonts w:hint="eastAsia" w:ascii="仿宋_GB2312" w:hAnsi="仿宋_GB2312" w:eastAsia="仿宋_GB2312" w:cs="仿宋_GB2312"/>
          <w:spacing w:val="-4"/>
          <w:sz w:val="32"/>
          <w:szCs w:val="32"/>
        </w:rPr>
        <w:t>%。年度预算执行情况如下表：</w:t>
      </w:r>
    </w:p>
    <w:p>
      <w:pPr>
        <w:pStyle w:val="2"/>
        <w:jc w:val="right"/>
        <w:rPr>
          <w:rFonts w:eastAsia="宋体" w:cs="宋体"/>
          <w:color w:val="auto"/>
          <w:spacing w:val="-4"/>
          <w:sz w:val="28"/>
          <w:szCs w:val="28"/>
        </w:rPr>
      </w:pPr>
      <w:r>
        <w:rPr>
          <w:rFonts w:hint="eastAsia" w:eastAsia="宋体" w:cs="宋体"/>
          <w:color w:val="auto"/>
          <w:spacing w:val="-4"/>
          <w:sz w:val="28"/>
          <w:szCs w:val="28"/>
        </w:rPr>
        <w:t>金额单位：万元</w:t>
      </w:r>
    </w:p>
    <w:tbl>
      <w:tblPr>
        <w:tblStyle w:val="22"/>
        <w:tblW w:w="8097" w:type="dxa"/>
        <w:jc w:val="center"/>
        <w:tblLayout w:type="autofit"/>
        <w:tblCellMar>
          <w:top w:w="0" w:type="dxa"/>
          <w:left w:w="108" w:type="dxa"/>
          <w:bottom w:w="0" w:type="dxa"/>
          <w:right w:w="108" w:type="dxa"/>
        </w:tblCellMar>
      </w:tblPr>
      <w:tblGrid>
        <w:gridCol w:w="2685"/>
        <w:gridCol w:w="1804"/>
        <w:gridCol w:w="1804"/>
        <w:gridCol w:w="1804"/>
      </w:tblGrid>
      <w:tr>
        <w:tblPrEx>
          <w:tblCellMar>
            <w:top w:w="0" w:type="dxa"/>
            <w:left w:w="108" w:type="dxa"/>
            <w:bottom w:w="0" w:type="dxa"/>
            <w:right w:w="108" w:type="dxa"/>
          </w:tblCellMar>
        </w:tblPrEx>
        <w:trPr>
          <w:trHeight w:val="340" w:hRule="exact"/>
          <w:jc w:val="center"/>
        </w:trPr>
        <w:tc>
          <w:tcPr>
            <w:tcW w:w="26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rPr>
            </w:pPr>
            <w:r>
              <w:rPr>
                <w:rFonts w:hint="eastAsia" w:ascii="宋体" w:hAnsi="宋体" w:eastAsia="宋体" w:cs="宋体"/>
                <w:color w:val="000000"/>
                <w:kern w:val="0"/>
              </w:rPr>
              <w:t>预算执行情况</w:t>
            </w:r>
          </w:p>
        </w:tc>
        <w:tc>
          <w:tcPr>
            <w:tcW w:w="180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rPr>
            </w:pPr>
            <w:r>
              <w:rPr>
                <w:rFonts w:hint="eastAsia" w:ascii="宋体" w:hAnsi="宋体" w:eastAsia="宋体" w:cs="宋体"/>
                <w:color w:val="000000"/>
                <w:kern w:val="0"/>
              </w:rPr>
              <w:t>基本支出</w:t>
            </w:r>
          </w:p>
        </w:tc>
        <w:tc>
          <w:tcPr>
            <w:tcW w:w="180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rPr>
            </w:pPr>
            <w:r>
              <w:rPr>
                <w:rFonts w:hint="eastAsia" w:ascii="宋体" w:hAnsi="宋体" w:eastAsia="宋体" w:cs="宋体"/>
                <w:color w:val="000000"/>
                <w:kern w:val="0"/>
              </w:rPr>
              <w:t>项目支出</w:t>
            </w:r>
          </w:p>
        </w:tc>
        <w:tc>
          <w:tcPr>
            <w:tcW w:w="180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rPr>
            </w:pPr>
            <w:r>
              <w:rPr>
                <w:rFonts w:hint="eastAsia" w:ascii="宋体" w:hAnsi="宋体" w:eastAsia="宋体" w:cs="宋体"/>
                <w:color w:val="000000"/>
                <w:kern w:val="0"/>
              </w:rPr>
              <w:t>合计</w:t>
            </w:r>
          </w:p>
        </w:tc>
      </w:tr>
      <w:tr>
        <w:tblPrEx>
          <w:tblCellMar>
            <w:top w:w="0" w:type="dxa"/>
            <w:left w:w="108" w:type="dxa"/>
            <w:bottom w:w="0" w:type="dxa"/>
            <w:right w:w="108" w:type="dxa"/>
          </w:tblCellMar>
        </w:tblPrEx>
        <w:trPr>
          <w:trHeight w:val="340" w:hRule="exact"/>
          <w:jc w:val="center"/>
        </w:trPr>
        <w:tc>
          <w:tcPr>
            <w:tcW w:w="26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rPr>
            </w:pPr>
            <w:r>
              <w:rPr>
                <w:rFonts w:hint="eastAsia" w:ascii="宋体" w:hAnsi="宋体" w:eastAsia="宋体" w:cs="宋体"/>
                <w:color w:val="000000"/>
                <w:kern w:val="0"/>
              </w:rPr>
              <w:t>1.年初预算数</w:t>
            </w:r>
          </w:p>
        </w:tc>
        <w:tc>
          <w:tcPr>
            <w:tcW w:w="180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3108.96</w:t>
            </w:r>
          </w:p>
        </w:tc>
        <w:tc>
          <w:tcPr>
            <w:tcW w:w="1804" w:type="dxa"/>
            <w:tcBorders>
              <w:top w:val="nil"/>
              <w:left w:val="nil"/>
              <w:bottom w:val="single" w:color="auto" w:sz="4" w:space="0"/>
              <w:right w:val="single" w:color="auto" w:sz="4" w:space="0"/>
            </w:tcBorders>
            <w:shd w:val="clear" w:color="auto" w:fill="auto"/>
            <w:noWrap/>
          </w:tcPr>
          <w:p>
            <w:pPr>
              <w:jc w:val="right"/>
              <w:rPr>
                <w:rFonts w:hint="eastAsia" w:ascii="宋体" w:hAnsi="宋体" w:eastAsia="宋体" w:cs="宋体"/>
                <w:lang w:val="en-US" w:eastAsia="zh-CN"/>
              </w:rPr>
            </w:pPr>
            <w:r>
              <w:rPr>
                <w:rFonts w:hint="eastAsia" w:ascii="宋体" w:hAnsi="宋体" w:eastAsia="宋体" w:cs="宋体"/>
                <w:color w:val="000000"/>
                <w:kern w:val="0"/>
              </w:rPr>
              <w:t>794.</w:t>
            </w:r>
            <w:r>
              <w:rPr>
                <w:rFonts w:hint="eastAsia" w:ascii="宋体" w:hAnsi="宋体" w:eastAsia="宋体" w:cs="宋体"/>
                <w:color w:val="000000"/>
                <w:kern w:val="0"/>
                <w:lang w:val="en-US" w:eastAsia="zh-CN"/>
              </w:rPr>
              <w:t>6</w:t>
            </w:r>
          </w:p>
        </w:tc>
        <w:tc>
          <w:tcPr>
            <w:tcW w:w="1804" w:type="dxa"/>
            <w:tcBorders>
              <w:top w:val="nil"/>
              <w:left w:val="nil"/>
              <w:bottom w:val="single" w:color="auto" w:sz="4" w:space="0"/>
              <w:right w:val="single" w:color="auto" w:sz="4" w:space="0"/>
            </w:tcBorders>
            <w:shd w:val="clear" w:color="auto" w:fill="auto"/>
            <w:noWrap/>
          </w:tcPr>
          <w:p>
            <w:pPr>
              <w:jc w:val="right"/>
              <w:rPr>
                <w:rFonts w:hint="eastAsia" w:ascii="宋体" w:hAnsi="宋体" w:eastAsia="宋体" w:cs="宋体"/>
                <w:lang w:val="en-US" w:eastAsia="zh-CN"/>
              </w:rPr>
            </w:pPr>
            <w:r>
              <w:rPr>
                <w:rFonts w:hint="eastAsia" w:ascii="宋体" w:hAnsi="宋体" w:eastAsia="宋体" w:cs="宋体"/>
              </w:rPr>
              <w:t>3903.5</w:t>
            </w:r>
            <w:r>
              <w:rPr>
                <w:rFonts w:hint="eastAsia" w:ascii="宋体" w:hAnsi="宋体" w:eastAsia="宋体" w:cs="宋体"/>
                <w:lang w:val="en-US" w:eastAsia="zh-CN"/>
              </w:rPr>
              <w:t>6</w:t>
            </w:r>
          </w:p>
        </w:tc>
      </w:tr>
      <w:tr>
        <w:tblPrEx>
          <w:tblCellMar>
            <w:top w:w="0" w:type="dxa"/>
            <w:left w:w="108" w:type="dxa"/>
            <w:bottom w:w="0" w:type="dxa"/>
            <w:right w:w="108" w:type="dxa"/>
          </w:tblCellMar>
        </w:tblPrEx>
        <w:trPr>
          <w:trHeight w:val="340" w:hRule="exact"/>
          <w:jc w:val="center"/>
        </w:trPr>
        <w:tc>
          <w:tcPr>
            <w:tcW w:w="2685" w:type="dxa"/>
            <w:tcBorders>
              <w:top w:val="nil"/>
              <w:left w:val="single" w:color="auto" w:sz="4" w:space="0"/>
              <w:bottom w:val="single" w:color="auto" w:sz="4" w:space="0"/>
              <w:right w:val="single" w:color="auto" w:sz="4" w:space="0"/>
            </w:tcBorders>
            <w:shd w:val="clear" w:color="auto" w:fill="auto"/>
            <w:noWrap/>
            <w:vAlign w:val="center"/>
          </w:tcPr>
          <w:p>
            <w:pPr>
              <w:widowControl/>
              <w:ind w:right="210" w:rightChars="100"/>
              <w:jc w:val="right"/>
              <w:rPr>
                <w:rFonts w:ascii="宋体" w:hAnsi="宋体" w:eastAsia="宋体" w:cs="宋体"/>
                <w:color w:val="000000"/>
                <w:kern w:val="0"/>
              </w:rPr>
            </w:pPr>
            <w:r>
              <w:rPr>
                <w:rFonts w:hint="eastAsia" w:ascii="宋体" w:hAnsi="宋体" w:eastAsia="宋体" w:cs="宋体"/>
                <w:color w:val="000000"/>
                <w:kern w:val="0"/>
              </w:rPr>
              <w:t>其中：区级预算</w:t>
            </w:r>
          </w:p>
        </w:tc>
        <w:tc>
          <w:tcPr>
            <w:tcW w:w="1804" w:type="dxa"/>
            <w:tcBorders>
              <w:top w:val="nil"/>
              <w:left w:val="nil"/>
              <w:bottom w:val="single" w:color="auto" w:sz="4" w:space="0"/>
              <w:right w:val="single" w:color="auto" w:sz="4" w:space="0"/>
            </w:tcBorders>
            <w:shd w:val="clear" w:color="auto" w:fill="auto"/>
            <w:noWrap/>
          </w:tcPr>
          <w:p>
            <w:pPr>
              <w:jc w:val="right"/>
              <w:rPr>
                <w:rFonts w:ascii="宋体" w:hAnsi="宋体" w:eastAsia="宋体" w:cs="宋体"/>
              </w:rPr>
            </w:pPr>
            <w:r>
              <w:rPr>
                <w:rFonts w:hint="eastAsia" w:ascii="宋体" w:hAnsi="宋体" w:eastAsia="宋体" w:cs="宋体"/>
                <w:color w:val="000000"/>
                <w:kern w:val="0"/>
              </w:rPr>
              <w:t>3108.96</w:t>
            </w:r>
          </w:p>
        </w:tc>
        <w:tc>
          <w:tcPr>
            <w:tcW w:w="1804" w:type="dxa"/>
            <w:tcBorders>
              <w:top w:val="nil"/>
              <w:left w:val="nil"/>
              <w:bottom w:val="single" w:color="auto" w:sz="4" w:space="0"/>
              <w:right w:val="single" w:color="auto" w:sz="4" w:space="0"/>
            </w:tcBorders>
            <w:shd w:val="clear" w:color="auto" w:fill="auto"/>
            <w:noWrap/>
          </w:tcPr>
          <w:p>
            <w:pPr>
              <w:jc w:val="right"/>
              <w:rPr>
                <w:rFonts w:hint="eastAsia" w:ascii="宋体" w:hAnsi="宋体" w:eastAsia="宋体" w:cs="宋体"/>
                <w:lang w:val="en-US" w:eastAsia="zh-CN"/>
              </w:rPr>
            </w:pPr>
            <w:r>
              <w:rPr>
                <w:rFonts w:hint="eastAsia" w:ascii="宋体" w:hAnsi="宋体" w:eastAsia="宋体" w:cs="宋体"/>
                <w:color w:val="000000"/>
                <w:kern w:val="0"/>
              </w:rPr>
              <w:t>794.</w:t>
            </w:r>
            <w:r>
              <w:rPr>
                <w:rFonts w:hint="eastAsia" w:ascii="宋体" w:hAnsi="宋体" w:eastAsia="宋体" w:cs="宋体"/>
                <w:color w:val="000000"/>
                <w:kern w:val="0"/>
                <w:lang w:val="en-US" w:eastAsia="zh-CN"/>
              </w:rPr>
              <w:t>6</w:t>
            </w:r>
          </w:p>
        </w:tc>
        <w:tc>
          <w:tcPr>
            <w:tcW w:w="1804" w:type="dxa"/>
            <w:tcBorders>
              <w:top w:val="nil"/>
              <w:left w:val="nil"/>
              <w:bottom w:val="single" w:color="auto" w:sz="4" w:space="0"/>
              <w:right w:val="single" w:color="auto" w:sz="4" w:space="0"/>
            </w:tcBorders>
            <w:shd w:val="clear" w:color="auto" w:fill="auto"/>
            <w:noWrap/>
          </w:tcPr>
          <w:p>
            <w:pPr>
              <w:jc w:val="right"/>
              <w:rPr>
                <w:rFonts w:hint="eastAsia" w:ascii="宋体" w:hAnsi="宋体" w:eastAsia="宋体" w:cs="宋体"/>
                <w:lang w:val="en-US" w:eastAsia="zh-CN"/>
              </w:rPr>
            </w:pPr>
            <w:r>
              <w:rPr>
                <w:rFonts w:hint="eastAsia" w:ascii="宋体" w:hAnsi="宋体" w:eastAsia="宋体" w:cs="宋体"/>
                <w:color w:val="000000"/>
                <w:kern w:val="0"/>
              </w:rPr>
              <w:t>3903.5</w:t>
            </w:r>
            <w:r>
              <w:rPr>
                <w:rFonts w:hint="eastAsia" w:ascii="宋体" w:hAnsi="宋体" w:eastAsia="宋体" w:cs="宋体"/>
                <w:color w:val="000000"/>
                <w:kern w:val="0"/>
                <w:lang w:val="en-US" w:eastAsia="zh-CN"/>
              </w:rPr>
              <w:t>6</w:t>
            </w:r>
          </w:p>
        </w:tc>
      </w:tr>
      <w:tr>
        <w:tblPrEx>
          <w:tblCellMar>
            <w:top w:w="0" w:type="dxa"/>
            <w:left w:w="108" w:type="dxa"/>
            <w:bottom w:w="0" w:type="dxa"/>
            <w:right w:w="108" w:type="dxa"/>
          </w:tblCellMar>
        </w:tblPrEx>
        <w:trPr>
          <w:trHeight w:val="340" w:hRule="exact"/>
          <w:jc w:val="center"/>
        </w:trPr>
        <w:tc>
          <w:tcPr>
            <w:tcW w:w="2685" w:type="dxa"/>
            <w:tcBorders>
              <w:top w:val="nil"/>
              <w:left w:val="single" w:color="auto" w:sz="4" w:space="0"/>
              <w:bottom w:val="single" w:color="auto" w:sz="4" w:space="0"/>
              <w:right w:val="single" w:color="auto" w:sz="4" w:space="0"/>
            </w:tcBorders>
            <w:shd w:val="clear" w:color="auto" w:fill="auto"/>
            <w:noWrap/>
            <w:vAlign w:val="center"/>
          </w:tcPr>
          <w:p>
            <w:pPr>
              <w:widowControl/>
              <w:ind w:right="210" w:rightChars="100"/>
              <w:jc w:val="right"/>
              <w:rPr>
                <w:rFonts w:ascii="宋体" w:hAnsi="宋体" w:eastAsia="宋体" w:cs="宋体"/>
                <w:color w:val="000000"/>
                <w:kern w:val="0"/>
              </w:rPr>
            </w:pPr>
            <w:r>
              <w:rPr>
                <w:rFonts w:hint="eastAsia" w:ascii="宋体" w:hAnsi="宋体" w:eastAsia="宋体" w:cs="宋体"/>
                <w:color w:val="000000"/>
                <w:kern w:val="0"/>
              </w:rPr>
              <w:t>上级资金</w:t>
            </w:r>
          </w:p>
        </w:tc>
        <w:tc>
          <w:tcPr>
            <w:tcW w:w="1804" w:type="dxa"/>
            <w:tcBorders>
              <w:top w:val="nil"/>
              <w:left w:val="nil"/>
              <w:bottom w:val="single" w:color="auto" w:sz="4" w:space="0"/>
              <w:right w:val="single" w:color="auto" w:sz="4" w:space="0"/>
            </w:tcBorders>
            <w:shd w:val="clear" w:color="auto" w:fill="auto"/>
            <w:noWrap/>
          </w:tcPr>
          <w:p>
            <w:pPr>
              <w:jc w:val="right"/>
              <w:rPr>
                <w:rFonts w:ascii="宋体" w:hAnsi="宋体" w:eastAsia="宋体" w:cs="宋体"/>
              </w:rPr>
            </w:pPr>
            <w:r>
              <w:rPr>
                <w:rFonts w:hint="eastAsia" w:ascii="宋体" w:hAnsi="宋体" w:eastAsia="宋体" w:cs="宋体"/>
                <w:color w:val="000000"/>
                <w:kern w:val="0"/>
              </w:rPr>
              <w:t>**</w:t>
            </w:r>
          </w:p>
        </w:tc>
        <w:tc>
          <w:tcPr>
            <w:tcW w:w="1804" w:type="dxa"/>
            <w:tcBorders>
              <w:top w:val="nil"/>
              <w:left w:val="nil"/>
              <w:bottom w:val="single" w:color="auto" w:sz="4" w:space="0"/>
              <w:right w:val="single" w:color="auto" w:sz="4" w:space="0"/>
            </w:tcBorders>
            <w:shd w:val="clear" w:color="auto" w:fill="auto"/>
            <w:noWrap/>
          </w:tcPr>
          <w:p>
            <w:pPr>
              <w:jc w:val="right"/>
              <w:rPr>
                <w:rFonts w:ascii="宋体" w:hAnsi="宋体" w:eastAsia="宋体" w:cs="宋体"/>
              </w:rPr>
            </w:pPr>
            <w:r>
              <w:rPr>
                <w:rFonts w:hint="eastAsia" w:ascii="宋体" w:hAnsi="宋体" w:eastAsia="宋体" w:cs="宋体"/>
                <w:color w:val="000000"/>
                <w:kern w:val="0"/>
              </w:rPr>
              <w:t>**</w:t>
            </w:r>
          </w:p>
        </w:tc>
        <w:tc>
          <w:tcPr>
            <w:tcW w:w="1804" w:type="dxa"/>
            <w:tcBorders>
              <w:top w:val="nil"/>
              <w:left w:val="nil"/>
              <w:bottom w:val="single" w:color="auto" w:sz="4" w:space="0"/>
              <w:right w:val="single" w:color="auto" w:sz="4" w:space="0"/>
            </w:tcBorders>
            <w:shd w:val="clear" w:color="auto" w:fill="auto"/>
            <w:noWrap/>
          </w:tcPr>
          <w:p>
            <w:pPr>
              <w:jc w:val="right"/>
              <w:rPr>
                <w:rFonts w:ascii="宋体" w:hAnsi="宋体" w:eastAsia="宋体" w:cs="宋体"/>
              </w:rPr>
            </w:pPr>
            <w:r>
              <w:rPr>
                <w:rFonts w:hint="eastAsia" w:ascii="宋体" w:hAnsi="宋体" w:eastAsia="宋体" w:cs="宋体"/>
                <w:color w:val="000000"/>
                <w:kern w:val="0"/>
              </w:rPr>
              <w:t>**</w:t>
            </w:r>
          </w:p>
        </w:tc>
      </w:tr>
      <w:tr>
        <w:tblPrEx>
          <w:tblCellMar>
            <w:top w:w="0" w:type="dxa"/>
            <w:left w:w="108" w:type="dxa"/>
            <w:bottom w:w="0" w:type="dxa"/>
            <w:right w:w="108" w:type="dxa"/>
          </w:tblCellMar>
        </w:tblPrEx>
        <w:trPr>
          <w:trHeight w:val="340" w:hRule="exact"/>
          <w:jc w:val="center"/>
        </w:trPr>
        <w:tc>
          <w:tcPr>
            <w:tcW w:w="2685" w:type="dxa"/>
            <w:tcBorders>
              <w:top w:val="nil"/>
              <w:left w:val="single" w:color="auto" w:sz="4" w:space="0"/>
              <w:bottom w:val="single" w:color="auto" w:sz="4" w:space="0"/>
              <w:right w:val="single" w:color="auto" w:sz="4" w:space="0"/>
            </w:tcBorders>
            <w:shd w:val="clear" w:color="auto" w:fill="auto"/>
            <w:noWrap/>
            <w:vAlign w:val="center"/>
          </w:tcPr>
          <w:p>
            <w:pPr>
              <w:widowControl/>
              <w:ind w:right="210" w:rightChars="100"/>
              <w:jc w:val="right"/>
              <w:rPr>
                <w:rFonts w:ascii="宋体" w:hAnsi="宋体" w:eastAsia="宋体" w:cs="宋体"/>
                <w:color w:val="000000"/>
                <w:kern w:val="0"/>
              </w:rPr>
            </w:pPr>
            <w:r>
              <w:rPr>
                <w:rFonts w:hint="eastAsia" w:ascii="宋体" w:hAnsi="宋体" w:eastAsia="宋体" w:cs="宋体"/>
                <w:color w:val="000000"/>
                <w:kern w:val="0"/>
              </w:rPr>
              <w:t>其他资金</w:t>
            </w:r>
          </w:p>
        </w:tc>
        <w:tc>
          <w:tcPr>
            <w:tcW w:w="1804" w:type="dxa"/>
            <w:tcBorders>
              <w:top w:val="nil"/>
              <w:left w:val="nil"/>
              <w:bottom w:val="single" w:color="auto" w:sz="4" w:space="0"/>
              <w:right w:val="single" w:color="auto" w:sz="4" w:space="0"/>
            </w:tcBorders>
            <w:shd w:val="clear" w:color="auto" w:fill="auto"/>
            <w:noWrap/>
          </w:tcPr>
          <w:p>
            <w:pPr>
              <w:jc w:val="right"/>
              <w:rPr>
                <w:rFonts w:ascii="宋体" w:hAnsi="宋体" w:eastAsia="宋体" w:cs="宋体"/>
              </w:rPr>
            </w:pPr>
            <w:r>
              <w:rPr>
                <w:rFonts w:hint="eastAsia" w:ascii="宋体" w:hAnsi="宋体" w:eastAsia="宋体" w:cs="宋体"/>
                <w:color w:val="000000"/>
                <w:kern w:val="0"/>
              </w:rPr>
              <w:t>**</w:t>
            </w:r>
          </w:p>
        </w:tc>
        <w:tc>
          <w:tcPr>
            <w:tcW w:w="1804" w:type="dxa"/>
            <w:tcBorders>
              <w:top w:val="nil"/>
              <w:left w:val="nil"/>
              <w:bottom w:val="single" w:color="auto" w:sz="4" w:space="0"/>
              <w:right w:val="single" w:color="auto" w:sz="4" w:space="0"/>
            </w:tcBorders>
            <w:shd w:val="clear" w:color="auto" w:fill="auto"/>
            <w:noWrap/>
          </w:tcPr>
          <w:p>
            <w:pPr>
              <w:jc w:val="right"/>
              <w:rPr>
                <w:rFonts w:ascii="宋体" w:hAnsi="宋体" w:eastAsia="宋体" w:cs="宋体"/>
              </w:rPr>
            </w:pPr>
            <w:r>
              <w:rPr>
                <w:rFonts w:hint="eastAsia" w:ascii="宋体" w:hAnsi="宋体" w:eastAsia="宋体" w:cs="宋体"/>
                <w:color w:val="000000"/>
                <w:kern w:val="0"/>
              </w:rPr>
              <w:t>**</w:t>
            </w:r>
          </w:p>
        </w:tc>
        <w:tc>
          <w:tcPr>
            <w:tcW w:w="1804" w:type="dxa"/>
            <w:tcBorders>
              <w:top w:val="nil"/>
              <w:left w:val="nil"/>
              <w:bottom w:val="single" w:color="auto" w:sz="4" w:space="0"/>
              <w:right w:val="single" w:color="auto" w:sz="4" w:space="0"/>
            </w:tcBorders>
            <w:shd w:val="clear" w:color="auto" w:fill="auto"/>
            <w:noWrap/>
          </w:tcPr>
          <w:p>
            <w:pPr>
              <w:jc w:val="right"/>
              <w:rPr>
                <w:rFonts w:ascii="宋体" w:hAnsi="宋体" w:eastAsia="宋体" w:cs="宋体"/>
              </w:rPr>
            </w:pPr>
            <w:r>
              <w:rPr>
                <w:rFonts w:hint="eastAsia" w:ascii="宋体" w:hAnsi="宋体" w:eastAsia="宋体" w:cs="宋体"/>
                <w:color w:val="000000"/>
                <w:kern w:val="0"/>
              </w:rPr>
              <w:t>**</w:t>
            </w:r>
          </w:p>
        </w:tc>
      </w:tr>
      <w:tr>
        <w:tblPrEx>
          <w:tblCellMar>
            <w:top w:w="0" w:type="dxa"/>
            <w:left w:w="108" w:type="dxa"/>
            <w:bottom w:w="0" w:type="dxa"/>
            <w:right w:w="108" w:type="dxa"/>
          </w:tblCellMar>
        </w:tblPrEx>
        <w:trPr>
          <w:trHeight w:val="340" w:hRule="exact"/>
          <w:jc w:val="center"/>
        </w:trPr>
        <w:tc>
          <w:tcPr>
            <w:tcW w:w="26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rPr>
            </w:pPr>
            <w:r>
              <w:rPr>
                <w:rFonts w:hint="eastAsia" w:ascii="宋体" w:hAnsi="宋体" w:eastAsia="宋体" w:cs="宋体"/>
                <w:color w:val="000000"/>
                <w:kern w:val="0"/>
              </w:rPr>
              <w:t>2.调整后预算数</w:t>
            </w:r>
          </w:p>
        </w:tc>
        <w:tc>
          <w:tcPr>
            <w:tcW w:w="1804" w:type="dxa"/>
            <w:tcBorders>
              <w:top w:val="nil"/>
              <w:left w:val="nil"/>
              <w:bottom w:val="single" w:color="auto" w:sz="4" w:space="0"/>
              <w:right w:val="single" w:color="auto" w:sz="4" w:space="0"/>
            </w:tcBorders>
            <w:shd w:val="clear" w:color="auto" w:fill="auto"/>
            <w:noWrap/>
          </w:tcPr>
          <w:p>
            <w:pPr>
              <w:jc w:val="right"/>
              <w:rPr>
                <w:rFonts w:ascii="宋体" w:hAnsi="宋体" w:eastAsia="宋体" w:cs="宋体"/>
              </w:rPr>
            </w:pPr>
            <w:r>
              <w:rPr>
                <w:rFonts w:hint="eastAsia" w:ascii="宋体" w:hAnsi="宋体" w:eastAsia="宋体" w:cs="宋体"/>
              </w:rPr>
              <w:t>3431.36</w:t>
            </w:r>
          </w:p>
        </w:tc>
        <w:tc>
          <w:tcPr>
            <w:tcW w:w="1804" w:type="dxa"/>
            <w:tcBorders>
              <w:top w:val="nil"/>
              <w:left w:val="nil"/>
              <w:bottom w:val="single" w:color="auto" w:sz="4" w:space="0"/>
              <w:right w:val="single" w:color="auto" w:sz="4" w:space="0"/>
            </w:tcBorders>
            <w:shd w:val="clear" w:color="auto" w:fill="auto"/>
            <w:noWrap/>
          </w:tcPr>
          <w:p>
            <w:pPr>
              <w:jc w:val="right"/>
              <w:rPr>
                <w:rFonts w:ascii="宋体" w:hAnsi="宋体" w:eastAsia="宋体" w:cs="宋体"/>
              </w:rPr>
            </w:pPr>
            <w:r>
              <w:rPr>
                <w:rFonts w:hint="eastAsia" w:ascii="宋体" w:hAnsi="宋体" w:eastAsia="宋体" w:cs="宋体"/>
              </w:rPr>
              <w:t>728.94</w:t>
            </w:r>
          </w:p>
        </w:tc>
        <w:tc>
          <w:tcPr>
            <w:tcW w:w="1804" w:type="dxa"/>
            <w:tcBorders>
              <w:top w:val="nil"/>
              <w:left w:val="nil"/>
              <w:bottom w:val="single" w:color="auto" w:sz="4" w:space="0"/>
              <w:right w:val="single" w:color="auto" w:sz="4" w:space="0"/>
            </w:tcBorders>
            <w:shd w:val="clear" w:color="auto" w:fill="auto"/>
            <w:noWrap/>
          </w:tcPr>
          <w:p>
            <w:pPr>
              <w:jc w:val="right"/>
              <w:rPr>
                <w:rFonts w:ascii="宋体" w:hAnsi="宋体" w:eastAsia="宋体" w:cs="宋体"/>
              </w:rPr>
            </w:pPr>
            <w:r>
              <w:rPr>
                <w:rFonts w:hint="eastAsia" w:ascii="宋体" w:hAnsi="宋体" w:eastAsia="宋体" w:cs="宋体"/>
                <w:color w:val="000000"/>
                <w:kern w:val="0"/>
              </w:rPr>
              <w:t>4160.3</w:t>
            </w:r>
          </w:p>
        </w:tc>
      </w:tr>
      <w:tr>
        <w:tblPrEx>
          <w:tblCellMar>
            <w:top w:w="0" w:type="dxa"/>
            <w:left w:w="108" w:type="dxa"/>
            <w:bottom w:w="0" w:type="dxa"/>
            <w:right w:w="108" w:type="dxa"/>
          </w:tblCellMar>
        </w:tblPrEx>
        <w:trPr>
          <w:trHeight w:val="340" w:hRule="exact"/>
          <w:jc w:val="center"/>
        </w:trPr>
        <w:tc>
          <w:tcPr>
            <w:tcW w:w="2685" w:type="dxa"/>
            <w:tcBorders>
              <w:top w:val="nil"/>
              <w:left w:val="single" w:color="auto" w:sz="4" w:space="0"/>
              <w:bottom w:val="single" w:color="auto" w:sz="4" w:space="0"/>
              <w:right w:val="single" w:color="auto" w:sz="4" w:space="0"/>
            </w:tcBorders>
            <w:shd w:val="clear" w:color="auto" w:fill="auto"/>
            <w:noWrap/>
            <w:vAlign w:val="center"/>
          </w:tcPr>
          <w:p>
            <w:pPr>
              <w:widowControl/>
              <w:ind w:right="210" w:rightChars="100"/>
              <w:jc w:val="right"/>
              <w:rPr>
                <w:rFonts w:ascii="宋体" w:hAnsi="宋体" w:eastAsia="宋体" w:cs="宋体"/>
                <w:color w:val="000000"/>
                <w:kern w:val="0"/>
              </w:rPr>
            </w:pPr>
            <w:r>
              <w:rPr>
                <w:rFonts w:hint="eastAsia" w:ascii="宋体" w:hAnsi="宋体" w:eastAsia="宋体" w:cs="宋体"/>
                <w:color w:val="000000"/>
                <w:kern w:val="0"/>
              </w:rPr>
              <w:t>其中：区级预算</w:t>
            </w:r>
          </w:p>
        </w:tc>
        <w:tc>
          <w:tcPr>
            <w:tcW w:w="1804" w:type="dxa"/>
            <w:tcBorders>
              <w:top w:val="nil"/>
              <w:left w:val="nil"/>
              <w:bottom w:val="single" w:color="auto" w:sz="4" w:space="0"/>
              <w:right w:val="single" w:color="auto" w:sz="4" w:space="0"/>
            </w:tcBorders>
            <w:shd w:val="clear" w:color="auto" w:fill="auto"/>
            <w:noWrap/>
          </w:tcPr>
          <w:p>
            <w:pPr>
              <w:jc w:val="right"/>
              <w:rPr>
                <w:rFonts w:ascii="宋体" w:hAnsi="宋体" w:eastAsia="宋体" w:cs="宋体"/>
              </w:rPr>
            </w:pPr>
            <w:r>
              <w:rPr>
                <w:rFonts w:hint="eastAsia" w:ascii="宋体" w:hAnsi="宋体" w:eastAsia="宋体" w:cs="宋体"/>
                <w:color w:val="000000"/>
                <w:kern w:val="0"/>
              </w:rPr>
              <w:t>3431.36</w:t>
            </w:r>
          </w:p>
        </w:tc>
        <w:tc>
          <w:tcPr>
            <w:tcW w:w="1804" w:type="dxa"/>
            <w:tcBorders>
              <w:top w:val="nil"/>
              <w:left w:val="nil"/>
              <w:bottom w:val="single" w:color="auto" w:sz="4" w:space="0"/>
              <w:right w:val="single" w:color="auto" w:sz="4" w:space="0"/>
            </w:tcBorders>
            <w:shd w:val="clear" w:color="auto" w:fill="auto"/>
            <w:noWrap/>
          </w:tcPr>
          <w:p>
            <w:pPr>
              <w:jc w:val="right"/>
              <w:rPr>
                <w:rFonts w:ascii="宋体" w:hAnsi="宋体" w:eastAsia="宋体" w:cs="宋体"/>
              </w:rPr>
            </w:pPr>
            <w:r>
              <w:rPr>
                <w:rFonts w:hint="eastAsia" w:ascii="宋体" w:hAnsi="宋体" w:eastAsia="宋体" w:cs="宋体"/>
                <w:color w:val="000000"/>
                <w:kern w:val="0"/>
              </w:rPr>
              <w:t>728.94</w:t>
            </w:r>
          </w:p>
        </w:tc>
        <w:tc>
          <w:tcPr>
            <w:tcW w:w="1804" w:type="dxa"/>
            <w:tcBorders>
              <w:top w:val="nil"/>
              <w:left w:val="nil"/>
              <w:bottom w:val="single" w:color="auto" w:sz="4" w:space="0"/>
              <w:right w:val="single" w:color="auto" w:sz="4" w:space="0"/>
            </w:tcBorders>
            <w:shd w:val="clear" w:color="auto" w:fill="auto"/>
            <w:noWrap/>
          </w:tcPr>
          <w:p>
            <w:pPr>
              <w:jc w:val="right"/>
              <w:rPr>
                <w:rFonts w:ascii="宋体" w:hAnsi="宋体" w:eastAsia="宋体" w:cs="宋体"/>
              </w:rPr>
            </w:pPr>
            <w:r>
              <w:rPr>
                <w:rFonts w:hint="eastAsia" w:ascii="宋体" w:hAnsi="宋体" w:eastAsia="宋体" w:cs="宋体"/>
                <w:color w:val="000000"/>
                <w:kern w:val="0"/>
              </w:rPr>
              <w:t>4160.3</w:t>
            </w:r>
          </w:p>
        </w:tc>
      </w:tr>
      <w:tr>
        <w:tblPrEx>
          <w:tblCellMar>
            <w:top w:w="0" w:type="dxa"/>
            <w:left w:w="108" w:type="dxa"/>
            <w:bottom w:w="0" w:type="dxa"/>
            <w:right w:w="108" w:type="dxa"/>
          </w:tblCellMar>
        </w:tblPrEx>
        <w:trPr>
          <w:trHeight w:val="340" w:hRule="exact"/>
          <w:jc w:val="center"/>
        </w:trPr>
        <w:tc>
          <w:tcPr>
            <w:tcW w:w="2685" w:type="dxa"/>
            <w:tcBorders>
              <w:top w:val="nil"/>
              <w:left w:val="single" w:color="auto" w:sz="4" w:space="0"/>
              <w:bottom w:val="single" w:color="auto" w:sz="4" w:space="0"/>
              <w:right w:val="single" w:color="auto" w:sz="4" w:space="0"/>
            </w:tcBorders>
            <w:shd w:val="clear" w:color="auto" w:fill="auto"/>
            <w:noWrap/>
            <w:vAlign w:val="center"/>
          </w:tcPr>
          <w:p>
            <w:pPr>
              <w:widowControl/>
              <w:ind w:right="210" w:rightChars="100"/>
              <w:jc w:val="right"/>
              <w:rPr>
                <w:rFonts w:ascii="宋体" w:hAnsi="宋体" w:eastAsia="宋体" w:cs="宋体"/>
                <w:color w:val="000000"/>
                <w:kern w:val="0"/>
              </w:rPr>
            </w:pPr>
            <w:r>
              <w:rPr>
                <w:rFonts w:hint="eastAsia" w:ascii="宋体" w:hAnsi="宋体" w:eastAsia="宋体" w:cs="宋体"/>
                <w:color w:val="000000"/>
                <w:kern w:val="0"/>
              </w:rPr>
              <w:t>上级资金</w:t>
            </w:r>
          </w:p>
        </w:tc>
        <w:tc>
          <w:tcPr>
            <w:tcW w:w="1804" w:type="dxa"/>
            <w:tcBorders>
              <w:top w:val="nil"/>
              <w:left w:val="nil"/>
              <w:bottom w:val="single" w:color="auto" w:sz="4" w:space="0"/>
              <w:right w:val="single" w:color="auto" w:sz="4" w:space="0"/>
            </w:tcBorders>
            <w:shd w:val="clear" w:color="auto" w:fill="auto"/>
            <w:noWrap/>
          </w:tcPr>
          <w:p>
            <w:pPr>
              <w:jc w:val="right"/>
              <w:rPr>
                <w:rFonts w:ascii="宋体" w:hAnsi="宋体" w:eastAsia="宋体" w:cs="宋体"/>
              </w:rPr>
            </w:pPr>
            <w:r>
              <w:rPr>
                <w:rFonts w:hint="eastAsia" w:ascii="宋体" w:hAnsi="宋体" w:eastAsia="宋体" w:cs="宋体"/>
                <w:color w:val="000000"/>
                <w:kern w:val="0"/>
              </w:rPr>
              <w:t>**</w:t>
            </w:r>
          </w:p>
        </w:tc>
        <w:tc>
          <w:tcPr>
            <w:tcW w:w="1804" w:type="dxa"/>
            <w:tcBorders>
              <w:top w:val="nil"/>
              <w:left w:val="nil"/>
              <w:bottom w:val="single" w:color="auto" w:sz="4" w:space="0"/>
              <w:right w:val="single" w:color="auto" w:sz="4" w:space="0"/>
            </w:tcBorders>
            <w:shd w:val="clear" w:color="auto" w:fill="auto"/>
            <w:noWrap/>
          </w:tcPr>
          <w:p>
            <w:pPr>
              <w:jc w:val="right"/>
              <w:rPr>
                <w:rFonts w:ascii="宋体" w:hAnsi="宋体" w:eastAsia="宋体" w:cs="宋体"/>
              </w:rPr>
            </w:pPr>
            <w:r>
              <w:rPr>
                <w:rFonts w:hint="eastAsia" w:ascii="宋体" w:hAnsi="宋体" w:eastAsia="宋体" w:cs="宋体"/>
                <w:color w:val="000000"/>
                <w:kern w:val="0"/>
              </w:rPr>
              <w:t>**</w:t>
            </w:r>
          </w:p>
        </w:tc>
        <w:tc>
          <w:tcPr>
            <w:tcW w:w="1804" w:type="dxa"/>
            <w:tcBorders>
              <w:top w:val="nil"/>
              <w:left w:val="nil"/>
              <w:bottom w:val="single" w:color="auto" w:sz="4" w:space="0"/>
              <w:right w:val="single" w:color="auto" w:sz="4" w:space="0"/>
            </w:tcBorders>
            <w:shd w:val="clear" w:color="auto" w:fill="auto"/>
            <w:noWrap/>
          </w:tcPr>
          <w:p>
            <w:pPr>
              <w:jc w:val="right"/>
              <w:rPr>
                <w:rFonts w:ascii="宋体" w:hAnsi="宋体" w:eastAsia="宋体" w:cs="宋体"/>
              </w:rPr>
            </w:pPr>
            <w:r>
              <w:rPr>
                <w:rFonts w:hint="eastAsia" w:ascii="宋体" w:hAnsi="宋体" w:eastAsia="宋体" w:cs="宋体"/>
                <w:color w:val="000000"/>
                <w:kern w:val="0"/>
              </w:rPr>
              <w:t>**</w:t>
            </w:r>
          </w:p>
        </w:tc>
      </w:tr>
      <w:tr>
        <w:tblPrEx>
          <w:tblCellMar>
            <w:top w:w="0" w:type="dxa"/>
            <w:left w:w="108" w:type="dxa"/>
            <w:bottom w:w="0" w:type="dxa"/>
            <w:right w:w="108" w:type="dxa"/>
          </w:tblCellMar>
        </w:tblPrEx>
        <w:trPr>
          <w:trHeight w:val="340" w:hRule="exact"/>
          <w:jc w:val="center"/>
        </w:trPr>
        <w:tc>
          <w:tcPr>
            <w:tcW w:w="2685" w:type="dxa"/>
            <w:tcBorders>
              <w:top w:val="nil"/>
              <w:left w:val="single" w:color="auto" w:sz="4" w:space="0"/>
              <w:bottom w:val="single" w:color="auto" w:sz="4" w:space="0"/>
              <w:right w:val="single" w:color="auto" w:sz="4" w:space="0"/>
            </w:tcBorders>
            <w:shd w:val="clear" w:color="auto" w:fill="auto"/>
            <w:noWrap/>
            <w:vAlign w:val="center"/>
          </w:tcPr>
          <w:p>
            <w:pPr>
              <w:widowControl/>
              <w:ind w:right="210" w:rightChars="100"/>
              <w:jc w:val="right"/>
              <w:rPr>
                <w:rFonts w:ascii="宋体" w:hAnsi="宋体" w:eastAsia="宋体" w:cs="宋体"/>
                <w:color w:val="000000"/>
                <w:kern w:val="0"/>
              </w:rPr>
            </w:pPr>
            <w:r>
              <w:rPr>
                <w:rFonts w:hint="eastAsia" w:ascii="宋体" w:hAnsi="宋体" w:eastAsia="宋体" w:cs="宋体"/>
                <w:color w:val="000000"/>
                <w:kern w:val="0"/>
              </w:rPr>
              <w:t>其他资金</w:t>
            </w:r>
          </w:p>
        </w:tc>
        <w:tc>
          <w:tcPr>
            <w:tcW w:w="1804" w:type="dxa"/>
            <w:tcBorders>
              <w:top w:val="nil"/>
              <w:left w:val="nil"/>
              <w:bottom w:val="single" w:color="auto" w:sz="4" w:space="0"/>
              <w:right w:val="single" w:color="auto" w:sz="4" w:space="0"/>
            </w:tcBorders>
            <w:shd w:val="clear" w:color="auto" w:fill="auto"/>
            <w:noWrap/>
          </w:tcPr>
          <w:p>
            <w:pPr>
              <w:jc w:val="right"/>
              <w:rPr>
                <w:rFonts w:ascii="宋体" w:hAnsi="宋体" w:eastAsia="宋体" w:cs="宋体"/>
              </w:rPr>
            </w:pPr>
            <w:r>
              <w:rPr>
                <w:rFonts w:hint="eastAsia" w:ascii="宋体" w:hAnsi="宋体" w:eastAsia="宋体" w:cs="宋体"/>
                <w:color w:val="000000"/>
                <w:kern w:val="0"/>
              </w:rPr>
              <w:t>**</w:t>
            </w:r>
          </w:p>
        </w:tc>
        <w:tc>
          <w:tcPr>
            <w:tcW w:w="1804" w:type="dxa"/>
            <w:tcBorders>
              <w:top w:val="nil"/>
              <w:left w:val="nil"/>
              <w:bottom w:val="single" w:color="auto" w:sz="4" w:space="0"/>
              <w:right w:val="single" w:color="auto" w:sz="4" w:space="0"/>
            </w:tcBorders>
            <w:shd w:val="clear" w:color="auto" w:fill="auto"/>
            <w:noWrap/>
          </w:tcPr>
          <w:p>
            <w:pPr>
              <w:jc w:val="right"/>
              <w:rPr>
                <w:rFonts w:ascii="宋体" w:hAnsi="宋体" w:eastAsia="宋体" w:cs="宋体"/>
              </w:rPr>
            </w:pPr>
            <w:r>
              <w:rPr>
                <w:rFonts w:hint="eastAsia" w:ascii="宋体" w:hAnsi="宋体" w:eastAsia="宋体" w:cs="宋体"/>
                <w:color w:val="000000"/>
                <w:kern w:val="0"/>
              </w:rPr>
              <w:t>**</w:t>
            </w:r>
          </w:p>
        </w:tc>
        <w:tc>
          <w:tcPr>
            <w:tcW w:w="1804" w:type="dxa"/>
            <w:tcBorders>
              <w:top w:val="nil"/>
              <w:left w:val="nil"/>
              <w:bottom w:val="single" w:color="auto" w:sz="4" w:space="0"/>
              <w:right w:val="single" w:color="auto" w:sz="4" w:space="0"/>
            </w:tcBorders>
            <w:shd w:val="clear" w:color="auto" w:fill="auto"/>
            <w:noWrap/>
          </w:tcPr>
          <w:p>
            <w:pPr>
              <w:jc w:val="right"/>
              <w:rPr>
                <w:rFonts w:ascii="宋体" w:hAnsi="宋体" w:eastAsia="宋体" w:cs="宋体"/>
              </w:rPr>
            </w:pPr>
            <w:r>
              <w:rPr>
                <w:rFonts w:hint="eastAsia" w:ascii="宋体" w:hAnsi="宋体" w:eastAsia="宋体" w:cs="宋体"/>
                <w:color w:val="000000"/>
                <w:kern w:val="0"/>
              </w:rPr>
              <w:t>**</w:t>
            </w:r>
          </w:p>
        </w:tc>
      </w:tr>
      <w:tr>
        <w:tblPrEx>
          <w:tblCellMar>
            <w:top w:w="0" w:type="dxa"/>
            <w:left w:w="108" w:type="dxa"/>
            <w:bottom w:w="0" w:type="dxa"/>
            <w:right w:w="108" w:type="dxa"/>
          </w:tblCellMar>
        </w:tblPrEx>
        <w:trPr>
          <w:trHeight w:val="340" w:hRule="exact"/>
          <w:jc w:val="center"/>
        </w:trPr>
        <w:tc>
          <w:tcPr>
            <w:tcW w:w="26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rPr>
            </w:pPr>
            <w:r>
              <w:rPr>
                <w:rFonts w:hint="eastAsia" w:ascii="宋体" w:hAnsi="宋体" w:eastAsia="宋体" w:cs="宋体"/>
                <w:color w:val="000000"/>
                <w:kern w:val="0"/>
              </w:rPr>
              <w:t>3.决算金额数</w:t>
            </w:r>
          </w:p>
        </w:tc>
        <w:tc>
          <w:tcPr>
            <w:tcW w:w="1804" w:type="dxa"/>
            <w:tcBorders>
              <w:top w:val="nil"/>
              <w:left w:val="nil"/>
              <w:bottom w:val="single" w:color="auto" w:sz="4" w:space="0"/>
              <w:right w:val="single" w:color="auto" w:sz="4" w:space="0"/>
            </w:tcBorders>
            <w:shd w:val="clear" w:color="auto" w:fill="auto"/>
            <w:noWrap/>
          </w:tcPr>
          <w:p>
            <w:pPr>
              <w:jc w:val="right"/>
              <w:rPr>
                <w:rFonts w:ascii="宋体" w:hAnsi="宋体" w:eastAsia="宋体" w:cs="宋体"/>
              </w:rPr>
            </w:pPr>
            <w:r>
              <w:rPr>
                <w:rFonts w:hint="eastAsia" w:ascii="宋体" w:hAnsi="宋体" w:eastAsia="宋体" w:cs="宋体"/>
              </w:rPr>
              <w:t>3431.36</w:t>
            </w:r>
          </w:p>
        </w:tc>
        <w:tc>
          <w:tcPr>
            <w:tcW w:w="1804" w:type="dxa"/>
            <w:tcBorders>
              <w:top w:val="nil"/>
              <w:left w:val="nil"/>
              <w:bottom w:val="single" w:color="auto" w:sz="4" w:space="0"/>
              <w:right w:val="single" w:color="auto" w:sz="4" w:space="0"/>
            </w:tcBorders>
            <w:shd w:val="clear" w:color="auto" w:fill="auto"/>
            <w:noWrap/>
          </w:tcPr>
          <w:p>
            <w:pPr>
              <w:jc w:val="right"/>
              <w:rPr>
                <w:rFonts w:ascii="宋体" w:hAnsi="宋体" w:eastAsia="宋体" w:cs="宋体"/>
              </w:rPr>
            </w:pPr>
            <w:r>
              <w:rPr>
                <w:rFonts w:hint="eastAsia" w:ascii="宋体" w:hAnsi="宋体" w:eastAsia="宋体" w:cs="宋体"/>
                <w:color w:val="000000"/>
                <w:kern w:val="0"/>
              </w:rPr>
              <w:t>728.94</w:t>
            </w:r>
          </w:p>
        </w:tc>
        <w:tc>
          <w:tcPr>
            <w:tcW w:w="1804" w:type="dxa"/>
            <w:tcBorders>
              <w:top w:val="nil"/>
              <w:left w:val="nil"/>
              <w:bottom w:val="single" w:color="auto" w:sz="4" w:space="0"/>
              <w:right w:val="single" w:color="auto" w:sz="4" w:space="0"/>
            </w:tcBorders>
            <w:shd w:val="clear" w:color="auto" w:fill="auto"/>
            <w:noWrap/>
          </w:tcPr>
          <w:p>
            <w:pPr>
              <w:jc w:val="right"/>
              <w:rPr>
                <w:rFonts w:ascii="宋体" w:hAnsi="宋体" w:eastAsia="宋体" w:cs="宋体"/>
              </w:rPr>
            </w:pPr>
            <w:r>
              <w:rPr>
                <w:rFonts w:hint="eastAsia" w:ascii="宋体" w:hAnsi="宋体" w:eastAsia="宋体" w:cs="宋体"/>
                <w:color w:val="000000"/>
                <w:kern w:val="0"/>
              </w:rPr>
              <w:t>4160.3</w:t>
            </w:r>
          </w:p>
        </w:tc>
      </w:tr>
      <w:tr>
        <w:tblPrEx>
          <w:tblCellMar>
            <w:top w:w="0" w:type="dxa"/>
            <w:left w:w="108" w:type="dxa"/>
            <w:bottom w:w="0" w:type="dxa"/>
            <w:right w:w="108" w:type="dxa"/>
          </w:tblCellMar>
        </w:tblPrEx>
        <w:trPr>
          <w:trHeight w:val="340" w:hRule="exact"/>
          <w:jc w:val="center"/>
        </w:trPr>
        <w:tc>
          <w:tcPr>
            <w:tcW w:w="26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rPr>
            </w:pPr>
            <w:r>
              <w:rPr>
                <w:rFonts w:hint="eastAsia" w:ascii="宋体" w:hAnsi="宋体" w:eastAsia="宋体" w:cs="宋体"/>
                <w:color w:val="000000"/>
                <w:kern w:val="0"/>
              </w:rPr>
              <w:t>4.预算执行率</w:t>
            </w:r>
          </w:p>
        </w:tc>
        <w:tc>
          <w:tcPr>
            <w:tcW w:w="180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1</w:t>
            </w:r>
            <w:r>
              <w:rPr>
                <w:rFonts w:hint="eastAsia" w:ascii="宋体" w:hAnsi="宋体" w:eastAsia="宋体" w:cs="宋体"/>
                <w:color w:val="000000"/>
                <w:kern w:val="0"/>
                <w:lang w:val="en-US" w:eastAsia="zh-CN"/>
              </w:rPr>
              <w:t>00</w:t>
            </w:r>
            <w:r>
              <w:rPr>
                <w:rFonts w:hint="eastAsia" w:ascii="宋体" w:hAnsi="宋体" w:eastAsia="宋体" w:cs="宋体"/>
                <w:color w:val="000000"/>
                <w:kern w:val="0"/>
              </w:rPr>
              <w:t>%</w:t>
            </w:r>
          </w:p>
        </w:tc>
        <w:tc>
          <w:tcPr>
            <w:tcW w:w="180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100%</w:t>
            </w:r>
          </w:p>
        </w:tc>
        <w:tc>
          <w:tcPr>
            <w:tcW w:w="180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10</w:t>
            </w:r>
            <w:r>
              <w:rPr>
                <w:rFonts w:hint="eastAsia" w:ascii="宋体" w:hAnsi="宋体" w:eastAsia="宋体" w:cs="宋体"/>
                <w:color w:val="000000"/>
                <w:kern w:val="0"/>
                <w:lang w:val="en-US" w:eastAsia="zh-CN"/>
              </w:rPr>
              <w:t>0</w:t>
            </w:r>
            <w:r>
              <w:rPr>
                <w:rFonts w:hint="eastAsia" w:ascii="宋体" w:hAnsi="宋体" w:eastAsia="宋体" w:cs="宋体"/>
                <w:color w:val="000000"/>
                <w:kern w:val="0"/>
              </w:rPr>
              <w:t>%</w:t>
            </w:r>
          </w:p>
        </w:tc>
      </w:tr>
    </w:tbl>
    <w:p>
      <w:pPr>
        <w:spacing w:line="590" w:lineRule="exact"/>
        <w:ind w:firstLine="544" w:firstLineChars="200"/>
        <w:rPr>
          <w:rFonts w:ascii="宋体" w:hAnsi="宋体" w:eastAsia="宋体" w:cs="宋体"/>
          <w:spacing w:val="-4"/>
          <w:sz w:val="28"/>
          <w:szCs w:val="28"/>
        </w:rPr>
      </w:pPr>
      <w:r>
        <w:rPr>
          <w:rFonts w:hint="eastAsia" w:ascii="宋体" w:hAnsi="宋体" w:eastAsia="宋体" w:cs="宋体"/>
          <w:spacing w:val="-4"/>
          <w:sz w:val="28"/>
          <w:szCs w:val="28"/>
        </w:rPr>
        <w:t>[注：预算执行率=(决算金额数/调整后预算数)×100%]</w:t>
      </w:r>
    </w:p>
    <w:p>
      <w:pPr>
        <w:spacing w:line="59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2.项目支出情况。2022年度，区检察院所有项目支出年初预算794.</w:t>
      </w:r>
      <w:r>
        <w:rPr>
          <w:rFonts w:hint="eastAsia" w:ascii="仿宋_GB2312" w:hAnsi="仿宋_GB2312" w:eastAsia="仿宋_GB2312" w:cs="仿宋_GB2312"/>
          <w:spacing w:val="-4"/>
          <w:sz w:val="32"/>
          <w:szCs w:val="32"/>
          <w:lang w:val="en-US" w:eastAsia="zh-CN"/>
        </w:rPr>
        <w:t>59</w:t>
      </w:r>
      <w:r>
        <w:rPr>
          <w:rFonts w:hint="eastAsia" w:ascii="仿宋_GB2312" w:hAnsi="仿宋_GB2312" w:eastAsia="仿宋_GB2312" w:cs="仿宋_GB2312"/>
          <w:spacing w:val="-4"/>
          <w:sz w:val="32"/>
          <w:szCs w:val="32"/>
        </w:rPr>
        <w:t>万元，其中：区级预算794.</w:t>
      </w:r>
      <w:r>
        <w:rPr>
          <w:rFonts w:hint="eastAsia" w:ascii="仿宋_GB2312" w:hAnsi="仿宋_GB2312" w:eastAsia="仿宋_GB2312" w:cs="仿宋_GB2312"/>
          <w:spacing w:val="-4"/>
          <w:sz w:val="32"/>
          <w:szCs w:val="32"/>
          <w:lang w:val="en-US" w:eastAsia="zh-CN"/>
        </w:rPr>
        <w:t>59</w:t>
      </w:r>
      <w:r>
        <w:rPr>
          <w:rFonts w:hint="eastAsia" w:ascii="仿宋_GB2312" w:hAnsi="仿宋_GB2312" w:eastAsia="仿宋_GB2312" w:cs="仿宋_GB2312"/>
          <w:spacing w:val="-4"/>
          <w:sz w:val="32"/>
          <w:szCs w:val="32"/>
        </w:rPr>
        <w:t>万元；调整后预算728.94万元，其中：区级预算663.47万元；决算金额数728.94万元，预算执行率</w:t>
      </w:r>
      <w:r>
        <w:rPr>
          <w:rFonts w:hint="eastAsia" w:ascii="仿宋_GB2312" w:hAnsi="仿宋_GB2312" w:eastAsia="仿宋_GB2312" w:cs="仿宋_GB2312"/>
          <w:spacing w:val="-4"/>
          <w:sz w:val="32"/>
          <w:szCs w:val="32"/>
          <w:lang w:val="en-US" w:eastAsia="zh-CN"/>
        </w:rPr>
        <w:t>100</w:t>
      </w:r>
      <w:r>
        <w:rPr>
          <w:rFonts w:hint="eastAsia" w:ascii="仿宋_GB2312" w:hAnsi="仿宋_GB2312" w:eastAsia="仿宋_GB2312" w:cs="仿宋_GB2312"/>
          <w:spacing w:val="-4"/>
          <w:sz w:val="32"/>
          <w:szCs w:val="32"/>
        </w:rPr>
        <w:t>%。专项资金支出如下表：</w:t>
      </w:r>
    </w:p>
    <w:p>
      <w:pPr>
        <w:pStyle w:val="2"/>
        <w:jc w:val="right"/>
        <w:rPr>
          <w:rFonts w:eastAsia="宋体" w:cs="宋体"/>
          <w:color w:val="auto"/>
          <w:spacing w:val="-4"/>
          <w:szCs w:val="24"/>
        </w:rPr>
      </w:pPr>
      <w:r>
        <w:rPr>
          <w:rFonts w:hint="eastAsia" w:eastAsia="宋体" w:cs="宋体"/>
          <w:color w:val="auto"/>
          <w:spacing w:val="-4"/>
          <w:szCs w:val="24"/>
        </w:rPr>
        <w:t>金额单位：万元</w:t>
      </w:r>
    </w:p>
    <w:tbl>
      <w:tblPr>
        <w:tblStyle w:val="22"/>
        <w:tblW w:w="8227" w:type="dxa"/>
        <w:jc w:val="center"/>
        <w:tblLayout w:type="autofit"/>
        <w:tblCellMar>
          <w:top w:w="0" w:type="dxa"/>
          <w:left w:w="108" w:type="dxa"/>
          <w:bottom w:w="0" w:type="dxa"/>
          <w:right w:w="108" w:type="dxa"/>
        </w:tblCellMar>
      </w:tblPr>
      <w:tblGrid>
        <w:gridCol w:w="520"/>
        <w:gridCol w:w="3397"/>
        <w:gridCol w:w="924"/>
        <w:gridCol w:w="1143"/>
        <w:gridCol w:w="1143"/>
        <w:gridCol w:w="1100"/>
      </w:tblGrid>
      <w:tr>
        <w:tblPrEx>
          <w:tblCellMar>
            <w:top w:w="0" w:type="dxa"/>
            <w:left w:w="108" w:type="dxa"/>
            <w:bottom w:w="0" w:type="dxa"/>
            <w:right w:w="108" w:type="dxa"/>
          </w:tblCellMar>
        </w:tblPrEx>
        <w:trPr>
          <w:trHeight w:val="567" w:hRule="atLeast"/>
          <w:jc w:val="center"/>
        </w:trPr>
        <w:tc>
          <w:tcPr>
            <w:tcW w:w="520"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ascii="宋体" w:hAnsi="宋体" w:eastAsia="宋体" w:cs="宋体"/>
                <w:color w:val="000000"/>
                <w:kern w:val="0"/>
              </w:rPr>
            </w:pPr>
            <w:r>
              <w:rPr>
                <w:rFonts w:hint="eastAsia" w:ascii="宋体" w:hAnsi="宋体" w:eastAsia="宋体" w:cs="宋体"/>
                <w:color w:val="000000"/>
                <w:kern w:val="0"/>
              </w:rPr>
              <w:t>序</w:t>
            </w:r>
            <w:r>
              <w:rPr>
                <w:rFonts w:hint="eastAsia" w:ascii="宋体" w:hAnsi="宋体" w:eastAsia="宋体" w:cs="宋体"/>
                <w:color w:val="000000"/>
                <w:kern w:val="0"/>
              </w:rPr>
              <w:br w:type="textWrapping"/>
            </w:r>
            <w:r>
              <w:rPr>
                <w:rFonts w:hint="eastAsia" w:ascii="宋体" w:hAnsi="宋体" w:eastAsia="宋体" w:cs="宋体"/>
                <w:color w:val="000000"/>
                <w:kern w:val="0"/>
              </w:rPr>
              <w:t>号</w:t>
            </w:r>
          </w:p>
        </w:tc>
        <w:tc>
          <w:tcPr>
            <w:tcW w:w="3397" w:type="dxa"/>
            <w:tcBorders>
              <w:top w:val="single" w:color="auto" w:sz="4" w:space="0"/>
              <w:left w:val="nil"/>
              <w:bottom w:val="nil"/>
              <w:right w:val="single" w:color="auto" w:sz="4" w:space="0"/>
            </w:tcBorders>
            <w:shd w:val="clear" w:color="auto" w:fill="auto"/>
            <w:vAlign w:val="center"/>
          </w:tcPr>
          <w:p>
            <w:pPr>
              <w:widowControl/>
              <w:spacing w:line="240" w:lineRule="exact"/>
              <w:jc w:val="center"/>
              <w:rPr>
                <w:rFonts w:ascii="宋体" w:hAnsi="宋体" w:eastAsia="宋体" w:cs="宋体"/>
                <w:color w:val="000000"/>
                <w:kern w:val="0"/>
              </w:rPr>
            </w:pPr>
            <w:r>
              <w:rPr>
                <w:rFonts w:hint="eastAsia" w:ascii="宋体" w:hAnsi="宋体" w:eastAsia="宋体" w:cs="宋体"/>
                <w:color w:val="000000"/>
                <w:kern w:val="0"/>
              </w:rPr>
              <w:t>项目名称</w:t>
            </w:r>
          </w:p>
        </w:tc>
        <w:tc>
          <w:tcPr>
            <w:tcW w:w="92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color w:val="000000"/>
                <w:kern w:val="0"/>
              </w:rPr>
            </w:pPr>
            <w:r>
              <w:rPr>
                <w:rFonts w:hint="eastAsia" w:ascii="宋体" w:hAnsi="宋体" w:eastAsia="宋体" w:cs="宋体"/>
                <w:color w:val="000000"/>
                <w:kern w:val="0"/>
              </w:rPr>
              <w:t>年初</w:t>
            </w:r>
            <w:r>
              <w:rPr>
                <w:rFonts w:hint="eastAsia" w:ascii="宋体" w:hAnsi="宋体" w:eastAsia="宋体" w:cs="宋体"/>
                <w:color w:val="000000"/>
                <w:kern w:val="0"/>
              </w:rPr>
              <w:br w:type="textWrapping"/>
            </w:r>
            <w:r>
              <w:rPr>
                <w:rFonts w:hint="eastAsia" w:ascii="宋体" w:hAnsi="宋体" w:eastAsia="宋体" w:cs="宋体"/>
                <w:color w:val="000000"/>
                <w:kern w:val="0"/>
              </w:rPr>
              <w:t>预算数</w:t>
            </w:r>
          </w:p>
        </w:tc>
        <w:tc>
          <w:tcPr>
            <w:tcW w:w="114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color w:val="000000"/>
                <w:kern w:val="0"/>
              </w:rPr>
            </w:pPr>
            <w:r>
              <w:rPr>
                <w:rFonts w:hint="eastAsia" w:ascii="宋体" w:hAnsi="宋体" w:eastAsia="宋体" w:cs="宋体"/>
                <w:color w:val="000000"/>
                <w:kern w:val="0"/>
              </w:rPr>
              <w:t>调整后</w:t>
            </w:r>
            <w:r>
              <w:rPr>
                <w:rFonts w:hint="eastAsia" w:ascii="宋体" w:hAnsi="宋体" w:eastAsia="宋体" w:cs="宋体"/>
                <w:color w:val="000000"/>
                <w:kern w:val="0"/>
              </w:rPr>
              <w:br w:type="textWrapping"/>
            </w:r>
            <w:r>
              <w:rPr>
                <w:rFonts w:hint="eastAsia" w:ascii="宋体" w:hAnsi="宋体" w:eastAsia="宋体" w:cs="宋体"/>
                <w:color w:val="000000"/>
                <w:kern w:val="0"/>
              </w:rPr>
              <w:t>预算数</w:t>
            </w:r>
          </w:p>
        </w:tc>
        <w:tc>
          <w:tcPr>
            <w:tcW w:w="114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color w:val="000000"/>
                <w:kern w:val="0"/>
              </w:rPr>
            </w:pPr>
            <w:r>
              <w:rPr>
                <w:rFonts w:hint="eastAsia" w:ascii="宋体" w:hAnsi="宋体" w:eastAsia="宋体" w:cs="宋体"/>
                <w:color w:val="000000"/>
                <w:kern w:val="0"/>
              </w:rPr>
              <w:t>决算</w:t>
            </w:r>
            <w:r>
              <w:rPr>
                <w:rFonts w:hint="eastAsia" w:ascii="宋体" w:hAnsi="宋体" w:eastAsia="宋体" w:cs="宋体"/>
                <w:color w:val="000000"/>
                <w:kern w:val="0"/>
              </w:rPr>
              <w:br w:type="textWrapping"/>
            </w:r>
            <w:r>
              <w:rPr>
                <w:rFonts w:hint="eastAsia" w:ascii="宋体" w:hAnsi="宋体" w:eastAsia="宋体" w:cs="宋体"/>
                <w:color w:val="000000"/>
                <w:kern w:val="0"/>
              </w:rPr>
              <w:t>金额数</w:t>
            </w:r>
          </w:p>
        </w:tc>
        <w:tc>
          <w:tcPr>
            <w:tcW w:w="110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color w:val="000000"/>
                <w:kern w:val="0"/>
              </w:rPr>
            </w:pPr>
            <w:r>
              <w:rPr>
                <w:rFonts w:hint="eastAsia" w:ascii="宋体" w:hAnsi="宋体" w:eastAsia="宋体" w:cs="宋体"/>
                <w:color w:val="000000"/>
                <w:kern w:val="0"/>
              </w:rPr>
              <w:t>预算</w:t>
            </w:r>
            <w:r>
              <w:rPr>
                <w:rFonts w:hint="eastAsia" w:ascii="宋体" w:hAnsi="宋体" w:eastAsia="宋体" w:cs="宋体"/>
                <w:color w:val="000000"/>
                <w:kern w:val="0"/>
              </w:rPr>
              <w:br w:type="textWrapping"/>
            </w:r>
            <w:r>
              <w:rPr>
                <w:rFonts w:hint="eastAsia" w:ascii="宋体" w:hAnsi="宋体" w:eastAsia="宋体" w:cs="宋体"/>
                <w:color w:val="000000"/>
                <w:kern w:val="0"/>
              </w:rPr>
              <w:t>执行率</w:t>
            </w:r>
          </w:p>
        </w:tc>
      </w:tr>
      <w:tr>
        <w:tblPrEx>
          <w:tblCellMar>
            <w:top w:w="0" w:type="dxa"/>
            <w:left w:w="108" w:type="dxa"/>
            <w:bottom w:w="0" w:type="dxa"/>
            <w:right w:w="108" w:type="dxa"/>
          </w:tblCellMar>
        </w:tblPrEx>
        <w:trPr>
          <w:trHeight w:val="340" w:hRule="atLeast"/>
          <w:jc w:val="center"/>
        </w:trPr>
        <w:tc>
          <w:tcPr>
            <w:tcW w:w="5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rPr>
            </w:pPr>
            <w:r>
              <w:rPr>
                <w:rFonts w:hint="eastAsia" w:ascii="宋体" w:hAnsi="宋体" w:eastAsia="宋体" w:cs="宋体"/>
                <w:color w:val="000000"/>
                <w:kern w:val="0"/>
              </w:rPr>
              <w:t>0</w:t>
            </w:r>
          </w:p>
        </w:tc>
        <w:tc>
          <w:tcPr>
            <w:tcW w:w="339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rPr>
            </w:pPr>
            <w:r>
              <w:rPr>
                <w:rFonts w:hint="eastAsia" w:ascii="宋体" w:hAnsi="宋体" w:eastAsia="宋体" w:cs="宋体"/>
                <w:color w:val="000000"/>
                <w:kern w:val="0"/>
              </w:rPr>
              <w:t>合  计</w:t>
            </w:r>
          </w:p>
        </w:tc>
        <w:tc>
          <w:tcPr>
            <w:tcW w:w="924"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lang w:val="en-US" w:eastAsia="zh-CN"/>
              </w:rPr>
            </w:pPr>
            <w:r>
              <w:rPr>
                <w:rFonts w:hint="eastAsia" w:ascii="宋体" w:hAnsi="宋体" w:eastAsia="宋体" w:cs="宋体"/>
                <w:color w:val="000000"/>
                <w:kern w:val="0"/>
              </w:rPr>
              <w:t>794.</w:t>
            </w:r>
            <w:r>
              <w:rPr>
                <w:rFonts w:hint="eastAsia" w:ascii="宋体" w:hAnsi="宋体" w:eastAsia="宋体" w:cs="宋体"/>
                <w:color w:val="000000"/>
                <w:kern w:val="0"/>
                <w:lang w:val="en-US" w:eastAsia="zh-CN"/>
              </w:rPr>
              <w:t>6</w:t>
            </w:r>
          </w:p>
        </w:tc>
        <w:tc>
          <w:tcPr>
            <w:tcW w:w="114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728.94</w:t>
            </w:r>
          </w:p>
        </w:tc>
        <w:tc>
          <w:tcPr>
            <w:tcW w:w="114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728.94</w:t>
            </w:r>
          </w:p>
        </w:tc>
        <w:tc>
          <w:tcPr>
            <w:tcW w:w="110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lang w:val="en-US" w:eastAsia="zh-CN"/>
              </w:rPr>
              <w:t>100</w:t>
            </w:r>
            <w:r>
              <w:rPr>
                <w:rFonts w:hint="eastAsia" w:ascii="宋体" w:hAnsi="宋体" w:eastAsia="宋体" w:cs="宋体"/>
                <w:color w:val="000000"/>
                <w:kern w:val="0"/>
              </w:rPr>
              <w:t>%</w:t>
            </w:r>
          </w:p>
        </w:tc>
      </w:tr>
      <w:tr>
        <w:tblPrEx>
          <w:tblCellMar>
            <w:top w:w="0" w:type="dxa"/>
            <w:left w:w="108" w:type="dxa"/>
            <w:bottom w:w="0" w:type="dxa"/>
            <w:right w:w="108" w:type="dxa"/>
          </w:tblCellMar>
        </w:tblPrEx>
        <w:trPr>
          <w:trHeight w:val="340" w:hRule="atLeast"/>
          <w:jc w:val="center"/>
        </w:trPr>
        <w:tc>
          <w:tcPr>
            <w:tcW w:w="5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rPr>
            </w:pPr>
            <w:r>
              <w:rPr>
                <w:rFonts w:hint="eastAsia" w:ascii="宋体" w:hAnsi="宋体" w:eastAsia="宋体" w:cs="宋体"/>
                <w:color w:val="000000"/>
                <w:kern w:val="0"/>
              </w:rPr>
              <w:t>1</w:t>
            </w:r>
          </w:p>
        </w:tc>
        <w:tc>
          <w:tcPr>
            <w:tcW w:w="339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rPr>
            </w:pPr>
            <w:r>
              <w:rPr>
                <w:rFonts w:hint="eastAsia" w:ascii="宋体" w:hAnsi="宋体" w:eastAsia="宋体" w:cs="宋体"/>
                <w:color w:val="000000"/>
                <w:kern w:val="0"/>
              </w:rPr>
              <w:t>政府购买文案整理服务</w:t>
            </w:r>
          </w:p>
        </w:tc>
        <w:tc>
          <w:tcPr>
            <w:tcW w:w="92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101</w:t>
            </w:r>
          </w:p>
        </w:tc>
        <w:tc>
          <w:tcPr>
            <w:tcW w:w="114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101</w:t>
            </w:r>
          </w:p>
        </w:tc>
        <w:tc>
          <w:tcPr>
            <w:tcW w:w="114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101</w:t>
            </w:r>
          </w:p>
        </w:tc>
        <w:tc>
          <w:tcPr>
            <w:tcW w:w="110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100%</w:t>
            </w:r>
          </w:p>
        </w:tc>
      </w:tr>
      <w:tr>
        <w:tblPrEx>
          <w:tblCellMar>
            <w:top w:w="0" w:type="dxa"/>
            <w:left w:w="108" w:type="dxa"/>
            <w:bottom w:w="0" w:type="dxa"/>
            <w:right w:w="108" w:type="dxa"/>
          </w:tblCellMar>
        </w:tblPrEx>
        <w:trPr>
          <w:trHeight w:val="340" w:hRule="atLeast"/>
          <w:jc w:val="center"/>
        </w:trPr>
        <w:tc>
          <w:tcPr>
            <w:tcW w:w="5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rPr>
            </w:pPr>
            <w:r>
              <w:rPr>
                <w:rFonts w:hint="eastAsia" w:ascii="宋体" w:hAnsi="宋体" w:eastAsia="宋体" w:cs="宋体"/>
                <w:color w:val="000000"/>
                <w:kern w:val="0"/>
              </w:rPr>
              <w:t>2</w:t>
            </w:r>
          </w:p>
        </w:tc>
        <w:tc>
          <w:tcPr>
            <w:tcW w:w="339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rPr>
            </w:pPr>
            <w:r>
              <w:rPr>
                <w:rFonts w:hint="eastAsia" w:ascii="宋体" w:hAnsi="宋体" w:eastAsia="宋体" w:cs="宋体"/>
                <w:color w:val="000000"/>
                <w:kern w:val="0"/>
              </w:rPr>
              <w:t>未成年人检察工作专项基金</w:t>
            </w:r>
          </w:p>
        </w:tc>
        <w:tc>
          <w:tcPr>
            <w:tcW w:w="92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27</w:t>
            </w:r>
          </w:p>
        </w:tc>
        <w:tc>
          <w:tcPr>
            <w:tcW w:w="114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11.48</w:t>
            </w:r>
          </w:p>
        </w:tc>
        <w:tc>
          <w:tcPr>
            <w:tcW w:w="114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11.48</w:t>
            </w:r>
          </w:p>
        </w:tc>
        <w:tc>
          <w:tcPr>
            <w:tcW w:w="110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100%</w:t>
            </w:r>
          </w:p>
        </w:tc>
      </w:tr>
      <w:tr>
        <w:tblPrEx>
          <w:tblCellMar>
            <w:top w:w="0" w:type="dxa"/>
            <w:left w:w="108" w:type="dxa"/>
            <w:bottom w:w="0" w:type="dxa"/>
            <w:right w:w="108" w:type="dxa"/>
          </w:tblCellMar>
        </w:tblPrEx>
        <w:trPr>
          <w:trHeight w:val="340" w:hRule="atLeast"/>
          <w:jc w:val="center"/>
        </w:trPr>
        <w:tc>
          <w:tcPr>
            <w:tcW w:w="5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rPr>
            </w:pPr>
            <w:r>
              <w:rPr>
                <w:rFonts w:hint="eastAsia" w:ascii="宋体" w:hAnsi="宋体" w:eastAsia="宋体" w:cs="宋体"/>
                <w:color w:val="000000"/>
                <w:kern w:val="0"/>
              </w:rPr>
              <w:t>3</w:t>
            </w:r>
          </w:p>
        </w:tc>
        <w:tc>
          <w:tcPr>
            <w:tcW w:w="339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rPr>
            </w:pPr>
            <w:r>
              <w:rPr>
                <w:rFonts w:hint="eastAsia" w:ascii="宋体" w:hAnsi="宋体" w:eastAsia="宋体" w:cs="宋体"/>
                <w:color w:val="000000"/>
                <w:kern w:val="0"/>
              </w:rPr>
              <w:t>智慧检务</w:t>
            </w:r>
          </w:p>
        </w:tc>
        <w:tc>
          <w:tcPr>
            <w:tcW w:w="92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100</w:t>
            </w:r>
          </w:p>
        </w:tc>
        <w:tc>
          <w:tcPr>
            <w:tcW w:w="114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34.39</w:t>
            </w:r>
          </w:p>
        </w:tc>
        <w:tc>
          <w:tcPr>
            <w:tcW w:w="114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34.39</w:t>
            </w:r>
          </w:p>
        </w:tc>
        <w:tc>
          <w:tcPr>
            <w:tcW w:w="110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100%</w:t>
            </w:r>
          </w:p>
        </w:tc>
      </w:tr>
      <w:tr>
        <w:tblPrEx>
          <w:tblCellMar>
            <w:top w:w="0" w:type="dxa"/>
            <w:left w:w="108" w:type="dxa"/>
            <w:bottom w:w="0" w:type="dxa"/>
            <w:right w:w="108" w:type="dxa"/>
          </w:tblCellMar>
        </w:tblPrEx>
        <w:trPr>
          <w:trHeight w:val="360" w:hRule="atLeast"/>
          <w:jc w:val="center"/>
        </w:trPr>
        <w:tc>
          <w:tcPr>
            <w:tcW w:w="5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rPr>
            </w:pPr>
            <w:r>
              <w:rPr>
                <w:rFonts w:hint="eastAsia" w:ascii="宋体" w:hAnsi="宋体" w:eastAsia="宋体" w:cs="宋体"/>
                <w:color w:val="000000"/>
                <w:kern w:val="0"/>
              </w:rPr>
              <w:t>4</w:t>
            </w:r>
          </w:p>
        </w:tc>
        <w:tc>
          <w:tcPr>
            <w:tcW w:w="339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rPr>
            </w:pPr>
            <w:r>
              <w:rPr>
                <w:rFonts w:hint="eastAsia" w:ascii="宋体" w:hAnsi="宋体" w:eastAsia="宋体" w:cs="宋体"/>
                <w:color w:val="000000"/>
                <w:kern w:val="0"/>
              </w:rPr>
              <w:t>以前年度质保金</w:t>
            </w:r>
          </w:p>
        </w:tc>
        <w:tc>
          <w:tcPr>
            <w:tcW w:w="924"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lang w:val="en-US" w:eastAsia="zh-CN"/>
              </w:rPr>
            </w:pPr>
            <w:r>
              <w:rPr>
                <w:rFonts w:hint="eastAsia" w:ascii="宋体" w:hAnsi="宋体" w:eastAsia="宋体" w:cs="宋体"/>
                <w:color w:val="000000"/>
                <w:kern w:val="0"/>
              </w:rPr>
              <w:t>516.</w:t>
            </w:r>
            <w:r>
              <w:rPr>
                <w:rFonts w:hint="eastAsia" w:ascii="宋体" w:hAnsi="宋体" w:eastAsia="宋体" w:cs="宋体"/>
                <w:color w:val="000000"/>
                <w:kern w:val="0"/>
                <w:lang w:val="en-US" w:eastAsia="zh-CN"/>
              </w:rPr>
              <w:t>6</w:t>
            </w:r>
          </w:p>
        </w:tc>
        <w:tc>
          <w:tcPr>
            <w:tcW w:w="114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color w:val="000000"/>
                <w:kern w:val="0"/>
                <w:lang w:val="en-US" w:eastAsia="zh-CN"/>
              </w:rPr>
            </w:pPr>
            <w:r>
              <w:rPr>
                <w:rFonts w:hint="eastAsia" w:ascii="宋体" w:hAnsi="宋体" w:eastAsia="宋体" w:cs="宋体"/>
                <w:color w:val="000000"/>
                <w:kern w:val="0"/>
              </w:rPr>
              <w:t>516.</w:t>
            </w:r>
            <w:r>
              <w:rPr>
                <w:rFonts w:hint="eastAsia" w:ascii="宋体" w:hAnsi="宋体" w:eastAsia="宋体" w:cs="宋体"/>
                <w:color w:val="000000"/>
                <w:kern w:val="0"/>
                <w:lang w:val="en-US" w:eastAsia="zh-CN"/>
              </w:rPr>
              <w:t>6</w:t>
            </w:r>
          </w:p>
        </w:tc>
        <w:tc>
          <w:tcPr>
            <w:tcW w:w="114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516.6</w:t>
            </w:r>
          </w:p>
        </w:tc>
        <w:tc>
          <w:tcPr>
            <w:tcW w:w="110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100%</w:t>
            </w:r>
          </w:p>
        </w:tc>
      </w:tr>
      <w:tr>
        <w:tblPrEx>
          <w:tblCellMar>
            <w:top w:w="0" w:type="dxa"/>
            <w:left w:w="108" w:type="dxa"/>
            <w:bottom w:w="0" w:type="dxa"/>
            <w:right w:w="108" w:type="dxa"/>
          </w:tblCellMar>
        </w:tblPrEx>
        <w:trPr>
          <w:trHeight w:val="340" w:hRule="atLeast"/>
          <w:jc w:val="center"/>
        </w:trPr>
        <w:tc>
          <w:tcPr>
            <w:tcW w:w="5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rPr>
            </w:pPr>
            <w:r>
              <w:rPr>
                <w:rFonts w:hint="eastAsia" w:ascii="宋体" w:hAnsi="宋体" w:eastAsia="宋体" w:cs="宋体"/>
                <w:color w:val="000000"/>
                <w:kern w:val="0"/>
              </w:rPr>
              <w:t>5</w:t>
            </w:r>
          </w:p>
        </w:tc>
        <w:tc>
          <w:tcPr>
            <w:tcW w:w="339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rPr>
            </w:pPr>
            <w:r>
              <w:rPr>
                <w:rFonts w:hint="eastAsia" w:ascii="宋体" w:hAnsi="宋体" w:eastAsia="宋体" w:cs="宋体"/>
                <w:color w:val="000000"/>
                <w:kern w:val="0"/>
              </w:rPr>
              <w:t>派驻监管场所分支网络分保建设项目专项资金</w:t>
            </w:r>
          </w:p>
        </w:tc>
        <w:tc>
          <w:tcPr>
            <w:tcW w:w="92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50</w:t>
            </w:r>
          </w:p>
        </w:tc>
        <w:tc>
          <w:tcPr>
            <w:tcW w:w="114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0</w:t>
            </w:r>
          </w:p>
        </w:tc>
        <w:tc>
          <w:tcPr>
            <w:tcW w:w="114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0</w:t>
            </w:r>
          </w:p>
        </w:tc>
        <w:tc>
          <w:tcPr>
            <w:tcW w:w="110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100%</w:t>
            </w:r>
          </w:p>
        </w:tc>
      </w:tr>
      <w:tr>
        <w:tblPrEx>
          <w:tblCellMar>
            <w:top w:w="0" w:type="dxa"/>
            <w:left w:w="108" w:type="dxa"/>
            <w:bottom w:w="0" w:type="dxa"/>
            <w:right w:w="108" w:type="dxa"/>
          </w:tblCellMar>
        </w:tblPrEx>
        <w:trPr>
          <w:trHeight w:val="340" w:hRule="atLeast"/>
          <w:jc w:val="center"/>
        </w:trPr>
        <w:tc>
          <w:tcPr>
            <w:tcW w:w="5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rPr>
            </w:pPr>
            <w:r>
              <w:rPr>
                <w:rFonts w:hint="eastAsia" w:ascii="宋体" w:hAnsi="宋体" w:eastAsia="宋体" w:cs="宋体"/>
                <w:color w:val="000000"/>
                <w:kern w:val="0"/>
              </w:rPr>
              <w:t>6</w:t>
            </w:r>
          </w:p>
        </w:tc>
        <w:tc>
          <w:tcPr>
            <w:tcW w:w="339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rPr>
            </w:pPr>
            <w:r>
              <w:rPr>
                <w:rFonts w:hint="eastAsia" w:ascii="宋体" w:hAnsi="宋体" w:eastAsia="宋体" w:cs="宋体"/>
                <w:color w:val="000000"/>
                <w:kern w:val="0"/>
              </w:rPr>
              <w:t>中央专款</w:t>
            </w:r>
          </w:p>
        </w:tc>
        <w:tc>
          <w:tcPr>
            <w:tcW w:w="92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p>
        </w:tc>
        <w:tc>
          <w:tcPr>
            <w:tcW w:w="114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65.47</w:t>
            </w:r>
          </w:p>
        </w:tc>
        <w:tc>
          <w:tcPr>
            <w:tcW w:w="114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65.47</w:t>
            </w:r>
          </w:p>
        </w:tc>
        <w:tc>
          <w:tcPr>
            <w:tcW w:w="110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rPr>
            </w:pPr>
            <w:r>
              <w:rPr>
                <w:rFonts w:hint="eastAsia" w:ascii="宋体" w:hAnsi="宋体" w:eastAsia="宋体" w:cs="宋体"/>
                <w:color w:val="000000"/>
                <w:kern w:val="0"/>
              </w:rPr>
              <w:t>100%</w:t>
            </w:r>
          </w:p>
        </w:tc>
      </w:tr>
    </w:tbl>
    <w:p>
      <w:pPr>
        <w:pStyle w:val="5"/>
        <w:numPr>
          <w:ilvl w:val="0"/>
          <w:numId w:val="0"/>
        </w:numPr>
        <w:adjustRightInd w:val="0"/>
        <w:snapToGrid w:val="0"/>
        <w:spacing w:line="360" w:lineRule="auto"/>
        <w:ind w:firstLine="640" w:firstLineChars="200"/>
        <w:rPr>
          <w:rFonts w:eastAsia="楷体_GB2312" w:cs="Times New Roman"/>
          <w:b w:val="0"/>
          <w:sz w:val="32"/>
          <w:lang w:val="en-US"/>
        </w:rPr>
      </w:pPr>
      <w:r>
        <w:rPr>
          <w:rFonts w:hint="eastAsia" w:eastAsia="楷体_GB2312" w:cs="Times New Roman"/>
          <w:b w:val="0"/>
          <w:sz w:val="32"/>
          <w:lang w:val="en-US"/>
        </w:rPr>
        <w:t>（三）部门资产情况</w:t>
      </w:r>
    </w:p>
    <w:p>
      <w:pPr>
        <w:pStyle w:val="4"/>
        <w:ind w:firstLine="640"/>
        <w:rPr>
          <w:lang w:val="en-US"/>
        </w:rPr>
      </w:pPr>
      <w:r>
        <w:rPr>
          <w:rFonts w:hint="eastAsia" w:ascii="仿宋_GB2312" w:hAnsi="宋体" w:cs="Courier New"/>
          <w:sz w:val="32"/>
          <w:szCs w:val="32"/>
        </w:rPr>
        <w:t>截至2021</w:t>
      </w:r>
      <w:r>
        <w:rPr>
          <w:rFonts w:hint="eastAsia" w:ascii="仿宋_GB2312" w:hAnsi="仿宋"/>
          <w:sz w:val="32"/>
          <w:szCs w:val="32"/>
        </w:rPr>
        <w:t>年底，本部门共有车辆13辆，其中，</w:t>
      </w:r>
      <w:r>
        <w:rPr>
          <w:rFonts w:hint="eastAsia" w:ascii="仿宋_GB2312" w:hAnsi="宋体" w:cs="宋体"/>
          <w:color w:val="000000"/>
          <w:sz w:val="32"/>
          <w:szCs w:val="32"/>
        </w:rPr>
        <w:t>一般</w:t>
      </w:r>
      <w:r>
        <w:rPr>
          <w:rFonts w:hint="eastAsia" w:ascii="仿宋_GB2312" w:hAnsi="宋体" w:cs="宋体"/>
          <w:color w:val="3D3D3D"/>
          <w:sz w:val="32"/>
          <w:szCs w:val="32"/>
        </w:rPr>
        <w:t>执法执勤用车6辆，特种专业技术用车3辆，机要通信应急用车2辆，老干部用车1辆，事业编用车1辆</w:t>
      </w:r>
      <w:r>
        <w:rPr>
          <w:rFonts w:hint="eastAsia" w:ascii="仿宋_GB2312" w:hAnsi="宋体" w:cs="宋体"/>
          <w:color w:val="000000"/>
          <w:sz w:val="32"/>
          <w:szCs w:val="32"/>
        </w:rPr>
        <w:t>。</w:t>
      </w:r>
      <w:r>
        <w:rPr>
          <w:rFonts w:hint="eastAsia" w:ascii="仿宋_GB2312" w:hAnsi="仿宋"/>
          <w:sz w:val="32"/>
          <w:szCs w:val="32"/>
        </w:rPr>
        <w:t>单位价值50万元以上通用设备0台（套）；单位价值100万元以上专用设备3台（套）。</w:t>
      </w:r>
    </w:p>
    <w:p>
      <w:pPr>
        <w:pStyle w:val="3"/>
        <w:numPr>
          <w:ilvl w:val="0"/>
          <w:numId w:val="0"/>
        </w:numPr>
        <w:adjustRightInd w:val="0"/>
        <w:snapToGrid w:val="0"/>
        <w:spacing w:line="360" w:lineRule="auto"/>
        <w:ind w:left="640"/>
        <w:rPr>
          <w:rFonts w:eastAsia="楷体_GB2312"/>
          <w:kern w:val="0"/>
          <w:szCs w:val="32"/>
          <w:lang w:val="en-US"/>
        </w:rPr>
      </w:pPr>
      <w:r>
        <w:rPr>
          <w:rFonts w:hint="eastAsia" w:eastAsia="楷体_GB2312"/>
          <w:kern w:val="0"/>
          <w:szCs w:val="32"/>
          <w:lang w:val="en-US"/>
        </w:rPr>
        <w:t>（四）部门绩效目标。</w:t>
      </w:r>
    </w:p>
    <w:p>
      <w:pPr>
        <w:spacing w:line="580" w:lineRule="exact"/>
        <w:ind w:firstLine="480" w:firstLineChars="150"/>
        <w:rPr>
          <w:rFonts w:ascii="仿宋_GB2312" w:hAnsi="等线" w:eastAsia="仿宋_GB2312" w:cs="Times New Roman"/>
          <w:sz w:val="32"/>
          <w:szCs w:val="32"/>
        </w:rPr>
      </w:pPr>
      <w:r>
        <w:rPr>
          <w:rFonts w:hint="eastAsia" w:ascii="仿宋_GB2312" w:hAnsi="等线" w:eastAsia="仿宋_GB2312" w:cs="Times New Roman"/>
          <w:sz w:val="32"/>
          <w:szCs w:val="32"/>
        </w:rPr>
        <w:t>2021年主要工作和目标：将检察工作与区委中心工作深度融合、精准对接，以更实举措服务经济社会发展；不断提升监督实效,以更高水平做强新时代法律监督；深化智慧检务建设，更大魄力推进司法改革创新；健全完善人才培养长效机制，以更高标准建设过硬检察队伍。</w:t>
      </w:r>
    </w:p>
    <w:p>
      <w:pPr>
        <w:numPr>
          <w:ilvl w:val="0"/>
          <w:numId w:val="3"/>
        </w:numPr>
        <w:spacing w:line="580" w:lineRule="exact"/>
        <w:ind w:firstLine="640" w:firstLineChars="200"/>
        <w:rPr>
          <w:rFonts w:ascii="仿宋_GB2312" w:hAnsi="等线" w:eastAsia="仿宋_GB2312" w:cs="Times New Roman"/>
          <w:sz w:val="32"/>
          <w:szCs w:val="32"/>
        </w:rPr>
      </w:pPr>
      <w:r>
        <w:rPr>
          <w:rFonts w:hint="eastAsia" w:ascii="仿宋_GB2312" w:hAnsi="等线" w:eastAsia="仿宋_GB2312" w:cs="Times New Roman"/>
          <w:sz w:val="32"/>
          <w:szCs w:val="32"/>
        </w:rPr>
        <w:t>设立未成年人检察工作专项基金，有效预防未成年人违法犯罪和侵害未成年人犯罪。开展未成年人法治教育及未成年人权益保护项目不少于10项；及时教育感化挽救涉罪未成年人回归社会不少于5人。</w:t>
      </w:r>
    </w:p>
    <w:p>
      <w:pPr>
        <w:spacing w:line="580" w:lineRule="exact"/>
        <w:ind w:firstLine="640" w:firstLineChars="200"/>
        <w:rPr>
          <w:rFonts w:ascii="仿宋_GB2312" w:hAnsi="等线" w:eastAsia="仿宋_GB2312" w:cs="Times New Roman"/>
          <w:sz w:val="32"/>
          <w:szCs w:val="32"/>
        </w:rPr>
      </w:pPr>
      <w:r>
        <w:rPr>
          <w:rFonts w:hint="eastAsia" w:ascii="仿宋_GB2312" w:hAnsi="等线" w:eastAsia="仿宋_GB2312" w:cs="Times New Roman"/>
          <w:sz w:val="32"/>
          <w:szCs w:val="32"/>
        </w:rPr>
        <w:t>2、建成省院统一安排的智慧检务三个子系统，国产化云桌面二期及配套系统、政法协同子系统、移动办公办案系统，能够满足各项检察工作的要求。2、建设移动办公、办案系统，实现信息化传输、共享等，全面提升检察机关办案效率。</w:t>
      </w:r>
    </w:p>
    <w:p>
      <w:pPr>
        <w:spacing w:line="580" w:lineRule="exact"/>
        <w:ind w:firstLine="640" w:firstLineChars="200"/>
        <w:rPr>
          <w:rFonts w:ascii="仿宋_GB2312" w:hAnsi="等线" w:eastAsia="仿宋_GB2312" w:cs="Times New Roman"/>
          <w:sz w:val="32"/>
          <w:szCs w:val="32"/>
        </w:rPr>
      </w:pPr>
      <w:r>
        <w:rPr>
          <w:rFonts w:hint="eastAsia" w:ascii="仿宋_GB2312" w:hAnsi="等线" w:eastAsia="仿宋_GB2312" w:cs="Times New Roman"/>
          <w:sz w:val="32"/>
          <w:szCs w:val="32"/>
        </w:rPr>
        <w:t>3、各派驻监管场所根据信息机密级建设并进行相应保护。计划购置1套安全核心设备、不少于3套安全软件及不少于3套分级保护终端。</w:t>
      </w:r>
    </w:p>
    <w:p>
      <w:pPr>
        <w:spacing w:line="580" w:lineRule="exact"/>
        <w:ind w:firstLine="640" w:firstLineChars="200"/>
        <w:rPr>
          <w:rFonts w:ascii="仿宋_GB2312" w:hAnsi="等线" w:eastAsia="仿宋_GB2312" w:cs="Times New Roman"/>
          <w:sz w:val="32"/>
          <w:szCs w:val="32"/>
        </w:rPr>
      </w:pPr>
      <w:r>
        <w:rPr>
          <w:rFonts w:hint="eastAsia" w:ascii="仿宋_GB2312" w:hAnsi="等线" w:eastAsia="仿宋_GB2312" w:cs="Times New Roman"/>
          <w:sz w:val="32"/>
          <w:szCs w:val="32"/>
        </w:rPr>
        <w:t>4、通过购买服务的形式，开展文案整理辅助工作。本年度完成不少于2300个案卷整理。</w:t>
      </w:r>
    </w:p>
    <w:p>
      <w:pPr>
        <w:pStyle w:val="2"/>
        <w:rPr>
          <w:rFonts w:ascii="仿宋_GB2312"/>
          <w:sz w:val="32"/>
          <w:szCs w:val="32"/>
        </w:rPr>
      </w:pPr>
      <w:r>
        <w:rPr>
          <w:rFonts w:hint="eastAsia"/>
        </w:rPr>
        <w:t xml:space="preserve">     </w:t>
      </w:r>
      <w:r>
        <w:rPr>
          <w:rFonts w:hint="eastAsia" w:ascii="仿宋_GB2312"/>
          <w:sz w:val="32"/>
          <w:szCs w:val="32"/>
        </w:rPr>
        <w:t>5、完成质保金的支付工作</w:t>
      </w:r>
    </w:p>
    <w:p>
      <w:pPr>
        <w:pStyle w:val="2"/>
        <w:rPr>
          <w:rFonts w:ascii="仿宋_GB2312"/>
          <w:sz w:val="32"/>
          <w:szCs w:val="32"/>
        </w:rPr>
      </w:pPr>
      <w:r>
        <w:rPr>
          <w:rFonts w:hint="eastAsia" w:ascii="仿宋_GB2312"/>
          <w:sz w:val="32"/>
          <w:szCs w:val="32"/>
        </w:rPr>
        <w:t xml:space="preserve">    6、完成中央专款的支付，用于办案费和装备费支出</w:t>
      </w:r>
    </w:p>
    <w:p>
      <w:pPr>
        <w:pStyle w:val="3"/>
        <w:numPr>
          <w:ilvl w:val="0"/>
          <w:numId w:val="0"/>
        </w:numPr>
        <w:adjustRightInd w:val="0"/>
        <w:snapToGrid w:val="0"/>
        <w:spacing w:line="360" w:lineRule="auto"/>
        <w:ind w:left="640"/>
        <w:rPr>
          <w:rFonts w:ascii="仿宋_GB2312" w:eastAsia="仿宋_GB2312"/>
          <w:szCs w:val="32"/>
          <w:lang w:val="en-US"/>
        </w:rPr>
      </w:pPr>
      <w:r>
        <w:rPr>
          <w:rFonts w:hint="eastAsia" w:ascii="仿宋_GB2312" w:eastAsia="仿宋_GB2312"/>
          <w:szCs w:val="32"/>
          <w:lang w:val="en-US"/>
        </w:rPr>
        <w:t>二、评价工作基本情况</w:t>
      </w:r>
    </w:p>
    <w:p>
      <w:pPr>
        <w:pStyle w:val="5"/>
        <w:numPr>
          <w:ilvl w:val="1"/>
          <w:numId w:val="2"/>
        </w:numPr>
        <w:adjustRightInd w:val="0"/>
        <w:snapToGrid w:val="0"/>
        <w:spacing w:line="360" w:lineRule="auto"/>
        <w:ind w:left="0" w:firstLine="640"/>
        <w:rPr>
          <w:rFonts w:eastAsia="楷体_GB2312" w:cs="Times New Roman"/>
          <w:b w:val="0"/>
          <w:sz w:val="32"/>
          <w:lang w:val="en-US"/>
        </w:rPr>
      </w:pPr>
      <w:r>
        <w:rPr>
          <w:rFonts w:hint="eastAsia" w:eastAsia="楷体_GB2312" w:cs="Times New Roman"/>
          <w:b w:val="0"/>
          <w:sz w:val="32"/>
          <w:lang w:val="en-US"/>
        </w:rPr>
        <w:t>评价目的</w:t>
      </w:r>
    </w:p>
    <w:p>
      <w:pPr>
        <w:widowControl/>
        <w:adjustRightInd w:val="0"/>
        <w:spacing w:line="58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根据青岛市城阳区政府投资项目绩效评价实施方案，对青岛市城阳区人民检察院部门整体支出进行绩效评价，评价绩效目标的设定、资金投入和使用、为实现绩效目标制定的制度及采取的措施、绩效目标的实现程度及效果等情况，并对项目实施中存在的问题进行归纳与分析，以期对后续项目的决策管理、财政资金的安排使用提出改进建议。</w:t>
      </w:r>
    </w:p>
    <w:p>
      <w:pPr>
        <w:pStyle w:val="5"/>
        <w:numPr>
          <w:ilvl w:val="1"/>
          <w:numId w:val="2"/>
        </w:numPr>
        <w:adjustRightInd w:val="0"/>
        <w:snapToGrid w:val="0"/>
        <w:spacing w:line="360" w:lineRule="auto"/>
        <w:ind w:left="0" w:firstLine="640"/>
        <w:rPr>
          <w:rFonts w:eastAsia="楷体_GB2312" w:cs="Times New Roman"/>
          <w:b w:val="0"/>
          <w:sz w:val="32"/>
          <w:lang w:val="en-US"/>
        </w:rPr>
      </w:pPr>
      <w:r>
        <w:rPr>
          <w:rFonts w:hint="eastAsia" w:eastAsia="楷体_GB2312" w:cs="Times New Roman"/>
          <w:b w:val="0"/>
          <w:sz w:val="32"/>
          <w:lang w:val="en-US"/>
        </w:rPr>
        <w:t>评价对象和资金范围。</w:t>
      </w:r>
    </w:p>
    <w:p>
      <w:pPr>
        <w:pStyle w:val="5"/>
        <w:numPr>
          <w:ilvl w:val="0"/>
          <w:numId w:val="0"/>
        </w:numPr>
        <w:adjustRightInd w:val="0"/>
        <w:snapToGrid w:val="0"/>
        <w:spacing w:line="360" w:lineRule="auto"/>
        <w:ind w:left="640"/>
        <w:rPr>
          <w:rFonts w:ascii="仿宋_GB2312" w:hAnsi="仿宋_GB2312" w:cs="仿宋_GB2312"/>
          <w:b w:val="0"/>
          <w:spacing w:val="-4"/>
          <w:sz w:val="32"/>
        </w:rPr>
      </w:pPr>
      <w:r>
        <w:rPr>
          <w:rFonts w:hint="eastAsia" w:ascii="仿宋_GB2312" w:hAnsi="仿宋_GB2312" w:cs="仿宋_GB2312"/>
          <w:b w:val="0"/>
          <w:sz w:val="32"/>
          <w:lang w:val="en-US"/>
        </w:rPr>
        <w:t>评价对象202</w:t>
      </w:r>
      <w:r>
        <w:rPr>
          <w:rFonts w:hint="eastAsia" w:ascii="仿宋_GB2312" w:hAnsi="仿宋_GB2312" w:cs="仿宋_GB2312"/>
          <w:b w:val="0"/>
          <w:spacing w:val="-4"/>
          <w:sz w:val="32"/>
        </w:rPr>
        <w:t>1年部门整体支出，含基本支出和项目支出，</w:t>
      </w:r>
    </w:p>
    <w:p>
      <w:pPr>
        <w:pStyle w:val="5"/>
        <w:numPr>
          <w:ilvl w:val="0"/>
          <w:numId w:val="0"/>
        </w:numPr>
        <w:adjustRightInd w:val="0"/>
        <w:snapToGrid w:val="0"/>
        <w:spacing w:line="360" w:lineRule="auto"/>
        <w:rPr>
          <w:rFonts w:ascii="仿宋_GB2312" w:hAnsi="仿宋_GB2312" w:cs="仿宋_GB2312"/>
          <w:b w:val="0"/>
          <w:spacing w:val="-4"/>
          <w:sz w:val="32"/>
        </w:rPr>
      </w:pPr>
      <w:r>
        <w:rPr>
          <w:rFonts w:hint="eastAsia" w:ascii="仿宋_GB2312" w:hAnsi="仿宋_GB2312" w:cs="仿宋_GB2312"/>
          <w:b w:val="0"/>
          <w:spacing w:val="-4"/>
          <w:sz w:val="32"/>
        </w:rPr>
        <w:t>资金范围包括区本级资金、中央、省、市转移支付资金和其他资金。</w:t>
      </w:r>
    </w:p>
    <w:p>
      <w:pPr>
        <w:pStyle w:val="5"/>
        <w:numPr>
          <w:ilvl w:val="1"/>
          <w:numId w:val="2"/>
        </w:numPr>
        <w:adjustRightInd w:val="0"/>
        <w:snapToGrid w:val="0"/>
        <w:spacing w:line="360" w:lineRule="auto"/>
        <w:ind w:left="0" w:firstLine="640"/>
        <w:rPr>
          <w:rFonts w:eastAsia="楷体_GB2312" w:cs="Times New Roman"/>
          <w:b w:val="0"/>
          <w:sz w:val="32"/>
          <w:lang w:val="en-US"/>
        </w:rPr>
      </w:pPr>
      <w:r>
        <w:rPr>
          <w:rFonts w:hint="eastAsia" w:eastAsia="楷体_GB2312" w:cs="Times New Roman"/>
          <w:b w:val="0"/>
          <w:sz w:val="32"/>
          <w:lang w:val="en-US"/>
        </w:rPr>
        <w:t>评价原则及评价方法</w:t>
      </w:r>
    </w:p>
    <w:p>
      <w:pPr>
        <w:widowControl/>
        <w:tabs>
          <w:tab w:val="left" w:pos="2740"/>
        </w:tabs>
        <w:adjustRightInd w:val="0"/>
        <w:snapToGrid w:val="0"/>
        <w:spacing w:line="580" w:lineRule="exact"/>
        <w:ind w:firstLine="640" w:firstLineChars="200"/>
        <w:jc w:val="left"/>
        <w:outlineLvl w:val="0"/>
        <w:rPr>
          <w:rFonts w:ascii="楷体_GB2312" w:hAnsi="楷体_GB2312" w:eastAsia="楷体_GB2312" w:cs="楷体_GB2312"/>
          <w:bCs/>
          <w:sz w:val="32"/>
          <w:szCs w:val="32"/>
        </w:rPr>
      </w:pPr>
      <w:bookmarkStart w:id="0" w:name="_Toc12304"/>
      <w:r>
        <w:rPr>
          <w:rFonts w:hint="eastAsia" w:ascii="楷体_GB2312" w:hAnsi="楷体_GB2312" w:eastAsia="楷体_GB2312" w:cs="楷体_GB2312"/>
          <w:bCs/>
          <w:sz w:val="32"/>
          <w:szCs w:val="32"/>
        </w:rPr>
        <w:t>绩效评价遵循以下基本原则：</w:t>
      </w:r>
      <w:bookmarkEnd w:id="0"/>
    </w:p>
    <w:p>
      <w:pPr>
        <w:spacing w:line="58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1、相关性原则。评价指标应当与绩效目标有直接的联系，能够正确反映目标的实现程度。</w:t>
      </w:r>
    </w:p>
    <w:p>
      <w:pPr>
        <w:spacing w:line="58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2、重要性原则。评价指标应当优先使用最具代表性、最能反映评价要求的核心指标。</w:t>
      </w:r>
    </w:p>
    <w:p>
      <w:pPr>
        <w:spacing w:line="58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3、可比性原则。对同类评价对象要设定共性的评价指标，以便于评价结果可以相互比较。</w:t>
      </w:r>
    </w:p>
    <w:p>
      <w:pPr>
        <w:spacing w:line="58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4、系统性原则。评价指标的设置应当将定量指标与定性指标相结合，系统反映财政支出所产生的社会效益、环境效益和社会公众或服务对象满意度等。</w:t>
      </w:r>
    </w:p>
    <w:p>
      <w:pPr>
        <w:spacing w:line="58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5、经济性原则。评价指标设计应当通俗易懂、简便易行，数据的获得应当。</w:t>
      </w:r>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bookmarkStart w:id="1" w:name="_Toc12173"/>
      <w:bookmarkStart w:id="2" w:name="_Toc1581"/>
      <w:bookmarkStart w:id="3" w:name="_Toc11326"/>
      <w:r>
        <w:rPr>
          <w:rFonts w:hint="eastAsia" w:ascii="仿宋_GB2312" w:hAnsi="仿宋_GB2312" w:eastAsia="仿宋_GB2312" w:cs="仿宋_GB2312"/>
          <w:bCs/>
          <w:kern w:val="0"/>
          <w:sz w:val="32"/>
          <w:szCs w:val="32"/>
        </w:rPr>
        <w:t>评价方法</w:t>
      </w:r>
      <w:bookmarkEnd w:id="1"/>
      <w:bookmarkEnd w:id="2"/>
      <w:bookmarkEnd w:id="3"/>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bookmarkStart w:id="4" w:name="_Toc28916"/>
      <w:bookmarkStart w:id="5" w:name="_Toc1424"/>
      <w:bookmarkStart w:id="6" w:name="_Toc1173"/>
      <w:bookmarkStart w:id="7" w:name="_Toc3245"/>
      <w:r>
        <w:rPr>
          <w:rFonts w:hint="eastAsia" w:ascii="仿宋_GB2312" w:hAnsi="仿宋_GB2312" w:eastAsia="仿宋_GB2312" w:cs="仿宋_GB2312"/>
          <w:bCs/>
          <w:kern w:val="0"/>
          <w:sz w:val="32"/>
          <w:szCs w:val="32"/>
        </w:rPr>
        <w:t>本着科学、规范、独立、客观、公正的原则，采用比较法、因素分析法以及公众评判法等绩效评价方法，最终通过综合分析影响绩效目标实现、实施效果的内外因素，评价绩效目标的实现程度。重点关注收集、分析数据方法的有效性、可靠性，从决策、过程、产出和效果四个方面进行综合评分。</w:t>
      </w:r>
      <w:bookmarkEnd w:id="4"/>
      <w:bookmarkEnd w:id="5"/>
      <w:bookmarkEnd w:id="6"/>
      <w:bookmarkEnd w:id="7"/>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bookmarkStart w:id="8" w:name="_Toc22913"/>
      <w:bookmarkStart w:id="9" w:name="_Toc13260"/>
      <w:bookmarkStart w:id="10" w:name="_Toc20584"/>
      <w:bookmarkStart w:id="11" w:name="_Toc8002"/>
      <w:r>
        <w:rPr>
          <w:rFonts w:hint="eastAsia" w:ascii="仿宋_GB2312" w:hAnsi="仿宋_GB2312" w:eastAsia="仿宋_GB2312" w:cs="仿宋_GB2312"/>
          <w:bCs/>
          <w:kern w:val="0"/>
          <w:sz w:val="32"/>
          <w:szCs w:val="32"/>
        </w:rPr>
        <w:t>本项目采取现场取证的方式收集资料。通过听取项目情况介绍、质询、查阅现场及相关资料等方法了解项目总体执行情况和经费使用情况、政策制定及执行情况。</w:t>
      </w:r>
      <w:bookmarkEnd w:id="8"/>
      <w:bookmarkEnd w:id="9"/>
      <w:bookmarkEnd w:id="10"/>
      <w:bookmarkEnd w:id="11"/>
      <w:r>
        <w:rPr>
          <w:rFonts w:hint="eastAsia" w:ascii="仿宋_GB2312" w:hAnsi="仿宋_GB2312" w:eastAsia="仿宋_GB2312" w:cs="仿宋_GB2312"/>
          <w:bCs/>
          <w:kern w:val="0"/>
          <w:sz w:val="32"/>
          <w:szCs w:val="32"/>
        </w:rPr>
        <w:t xml:space="preserve">  </w:t>
      </w:r>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bookmarkStart w:id="12" w:name="_Toc16407"/>
      <w:bookmarkStart w:id="13" w:name="_Toc4977"/>
      <w:bookmarkStart w:id="14" w:name="_Toc21313"/>
      <w:bookmarkStart w:id="15" w:name="_Toc12349"/>
      <w:r>
        <w:rPr>
          <w:rFonts w:hint="eastAsia" w:ascii="仿宋_GB2312" w:hAnsi="仿宋_GB2312" w:eastAsia="仿宋_GB2312" w:cs="仿宋_GB2312"/>
          <w:bCs/>
          <w:kern w:val="0"/>
          <w:sz w:val="32"/>
          <w:szCs w:val="32"/>
        </w:rPr>
        <w:t>（1）审阅资料：查阅青岛市城阳区人民检察院部门整体支出相关的全部账簿和记账凭证等财务资料，核实项目资金的拨付和使用情况；查阅部门管理流程中涉及的所有的制度、合同和管理办法，根据既定的评价体系指标，一方面判断管理办法和制度的合理性，另一方面落实其实际执行情况。</w:t>
      </w:r>
      <w:bookmarkEnd w:id="12"/>
      <w:bookmarkEnd w:id="13"/>
      <w:bookmarkEnd w:id="14"/>
      <w:bookmarkEnd w:id="15"/>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bookmarkStart w:id="16" w:name="_Toc24249"/>
      <w:bookmarkStart w:id="17" w:name="_Toc10912"/>
      <w:bookmarkStart w:id="18" w:name="_Toc15747"/>
      <w:bookmarkStart w:id="19" w:name="_Toc17226"/>
      <w:r>
        <w:rPr>
          <w:rFonts w:hint="eastAsia" w:ascii="仿宋_GB2312" w:hAnsi="仿宋_GB2312" w:eastAsia="仿宋_GB2312" w:cs="仿宋_GB2312"/>
          <w:bCs/>
          <w:kern w:val="0"/>
          <w:sz w:val="32"/>
          <w:szCs w:val="32"/>
        </w:rPr>
        <w:t>（2）现场查勘：通过现场查勘，核实青岛市城阳区卫生健康局对该项目的组织实施、管理控制、实施效果。</w:t>
      </w:r>
      <w:bookmarkEnd w:id="16"/>
      <w:bookmarkEnd w:id="17"/>
      <w:bookmarkEnd w:id="18"/>
      <w:bookmarkEnd w:id="19"/>
      <w:r>
        <w:rPr>
          <w:rFonts w:hint="eastAsia" w:ascii="仿宋_GB2312" w:hAnsi="仿宋_GB2312" w:eastAsia="仿宋_GB2312" w:cs="仿宋_GB2312"/>
          <w:bCs/>
          <w:kern w:val="0"/>
          <w:sz w:val="32"/>
          <w:szCs w:val="32"/>
        </w:rPr>
        <w:t xml:space="preserve"> </w:t>
      </w:r>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bookmarkStart w:id="20" w:name="_Toc31310"/>
      <w:bookmarkStart w:id="21" w:name="_Toc22872"/>
      <w:bookmarkStart w:id="22" w:name="_Toc9003"/>
      <w:bookmarkStart w:id="23" w:name="_Toc27472"/>
      <w:r>
        <w:rPr>
          <w:rFonts w:hint="eastAsia" w:ascii="仿宋_GB2312" w:hAnsi="仿宋_GB2312" w:eastAsia="仿宋_GB2312" w:cs="仿宋_GB2312"/>
          <w:bCs/>
          <w:kern w:val="0"/>
          <w:sz w:val="32"/>
          <w:szCs w:val="32"/>
        </w:rPr>
        <w:t>（3）满意度调查。对相关人员以调查问卷形式调查该项目实施效果，统计满意度。</w:t>
      </w:r>
      <w:bookmarkEnd w:id="20"/>
      <w:bookmarkEnd w:id="21"/>
      <w:bookmarkEnd w:id="22"/>
      <w:bookmarkEnd w:id="23"/>
    </w:p>
    <w:p>
      <w:pPr>
        <w:pStyle w:val="4"/>
        <w:adjustRightInd w:val="0"/>
        <w:snapToGrid w:val="0"/>
        <w:spacing w:line="360" w:lineRule="auto"/>
        <w:ind w:firstLine="640"/>
        <w:rPr>
          <w:rFonts w:eastAsia="楷体_GB2312"/>
          <w:bCs/>
          <w:sz w:val="32"/>
          <w:szCs w:val="32"/>
          <w:lang w:val="en-US"/>
        </w:rPr>
      </w:pPr>
      <w:r>
        <w:rPr>
          <w:rFonts w:hint="eastAsia" w:eastAsia="楷体_GB2312"/>
          <w:bCs/>
          <w:sz w:val="32"/>
          <w:szCs w:val="32"/>
          <w:lang w:val="en-US"/>
        </w:rPr>
        <w:t>（四）绩效评价指标体系</w:t>
      </w:r>
    </w:p>
    <w:p>
      <w:pPr>
        <w:spacing w:line="580" w:lineRule="exact"/>
        <w:ind w:firstLine="640" w:firstLineChars="200"/>
        <w:rPr>
          <w:rFonts w:ascii="仿宋_GB2312" w:hAnsi="仿宋_GB2312" w:eastAsia="仿宋_GB2312" w:cs="仿宋_GB2312"/>
          <w:bCs/>
          <w:kern w:val="0"/>
          <w:sz w:val="32"/>
          <w:szCs w:val="32"/>
        </w:rPr>
      </w:pPr>
      <w:r>
        <w:rPr>
          <w:rFonts w:ascii="仿宋_GB2312" w:hAnsi="仿宋_GB2312" w:eastAsia="仿宋_GB2312" w:cs="仿宋_GB2312"/>
          <w:bCs/>
          <w:kern w:val="0"/>
          <w:sz w:val="32"/>
          <w:szCs w:val="32"/>
        </w:rPr>
        <w:t>绩效评价指标是指衡量绩效目标实现程度的考核工具，分为共性指标和个性指标。依据相关性、重要性、可比性、系统性、经济性原则，根据《预算法》、《财政部关于印发&lt;财政支出绩效评价管理暂行办法&gt;的通知（财预[2011]285号）和《山东省省级预算支出项目第三方绩效评价工作规程（试行）》的要求，结合项目特点，评价机构在与项目主管部门沟通基础上，细化该项目的综合评价指标体系，制定《</w:t>
      </w:r>
      <w:r>
        <w:rPr>
          <w:rFonts w:hint="eastAsia" w:ascii="仿宋_GB2312" w:hAnsi="仿宋_GB2312" w:eastAsia="仿宋_GB2312" w:cs="仿宋_GB2312"/>
          <w:bCs/>
          <w:kern w:val="0"/>
          <w:sz w:val="32"/>
          <w:szCs w:val="32"/>
        </w:rPr>
        <w:t>青岛市城阳区人民检察院部门整体支出</w:t>
      </w:r>
      <w:r>
        <w:rPr>
          <w:rFonts w:ascii="仿宋_GB2312" w:hAnsi="仿宋_GB2312" w:eastAsia="仿宋_GB2312" w:cs="仿宋_GB2312"/>
          <w:bCs/>
          <w:kern w:val="0"/>
          <w:sz w:val="32"/>
          <w:szCs w:val="32"/>
        </w:rPr>
        <w:t>绩效评价指标体系》，评价内容包括</w:t>
      </w:r>
      <w:r>
        <w:rPr>
          <w:rFonts w:hint="eastAsia" w:ascii="仿宋_GB2312" w:hAnsi="仿宋_GB2312" w:eastAsia="仿宋_GB2312" w:cs="仿宋_GB2312"/>
          <w:bCs/>
          <w:kern w:val="0"/>
          <w:sz w:val="32"/>
          <w:szCs w:val="32"/>
        </w:rPr>
        <w:t>决策</w:t>
      </w:r>
      <w:r>
        <w:rPr>
          <w:rFonts w:ascii="仿宋_GB2312" w:hAnsi="仿宋_GB2312" w:eastAsia="仿宋_GB2312" w:cs="仿宋_GB2312"/>
          <w:bCs/>
          <w:kern w:val="0"/>
          <w:sz w:val="32"/>
          <w:szCs w:val="32"/>
        </w:rPr>
        <w:t>、过程、产出和效果四个方面。</w:t>
      </w:r>
    </w:p>
    <w:p>
      <w:pPr>
        <w:widowControl/>
        <w:numPr>
          <w:ilvl w:val="0"/>
          <w:numId w:val="4"/>
        </w:numPr>
        <w:tabs>
          <w:tab w:val="left" w:pos="2740"/>
        </w:tabs>
        <w:adjustRightInd w:val="0"/>
        <w:snapToGrid w:val="0"/>
        <w:spacing w:line="580" w:lineRule="exact"/>
        <w:ind w:firstLine="640" w:firstLineChars="200"/>
        <w:jc w:val="left"/>
        <w:outlineLvl w:val="2"/>
        <w:rPr>
          <w:rFonts w:ascii="仿宋_GB2312" w:hAnsi="仿宋_GB2312" w:eastAsia="仿宋_GB2312" w:cs="仿宋_GB2312"/>
          <w:bCs/>
          <w:kern w:val="0"/>
          <w:sz w:val="32"/>
          <w:szCs w:val="32"/>
        </w:rPr>
      </w:pPr>
      <w:bookmarkStart w:id="24" w:name="_Toc7397"/>
      <w:bookmarkStart w:id="25" w:name="_Toc20958"/>
      <w:r>
        <w:rPr>
          <w:rFonts w:hint="eastAsia" w:ascii="仿宋_GB2312" w:hAnsi="仿宋_GB2312" w:eastAsia="仿宋_GB2312" w:cs="仿宋_GB2312"/>
          <w:bCs/>
          <w:kern w:val="0"/>
          <w:sz w:val="32"/>
          <w:szCs w:val="32"/>
        </w:rPr>
        <w:t>评价指标</w:t>
      </w:r>
      <w:bookmarkEnd w:id="24"/>
      <w:bookmarkEnd w:id="25"/>
    </w:p>
    <w:tbl>
      <w:tblPr>
        <w:tblStyle w:val="22"/>
        <w:tblW w:w="0" w:type="auto"/>
        <w:tblInd w:w="0" w:type="dxa"/>
        <w:tblLayout w:type="fixed"/>
        <w:tblCellMar>
          <w:top w:w="0" w:type="dxa"/>
          <w:left w:w="0" w:type="dxa"/>
          <w:bottom w:w="0" w:type="dxa"/>
          <w:right w:w="0" w:type="dxa"/>
        </w:tblCellMar>
      </w:tblPr>
      <w:tblGrid>
        <w:gridCol w:w="2202"/>
        <w:gridCol w:w="2440"/>
        <w:gridCol w:w="1632"/>
        <w:gridCol w:w="2050"/>
      </w:tblGrid>
      <w:tr>
        <w:tblPrEx>
          <w:tblCellMar>
            <w:top w:w="0" w:type="dxa"/>
            <w:left w:w="0" w:type="dxa"/>
            <w:bottom w:w="0" w:type="dxa"/>
            <w:right w:w="0" w:type="dxa"/>
          </w:tblCellMar>
        </w:tblPrEx>
        <w:trPr>
          <w:trHeight w:val="400" w:hRule="atLeast"/>
        </w:trPr>
        <w:tc>
          <w:tcPr>
            <w:tcW w:w="220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tabs>
                <w:tab w:val="left" w:pos="2740"/>
              </w:tabs>
              <w:adjustRightInd w:val="0"/>
              <w:snapToGrid w:val="0"/>
              <w:spacing w:line="580" w:lineRule="exact"/>
              <w:jc w:val="center"/>
              <w:outlineLvl w:val="2"/>
              <w:rPr>
                <w:rFonts w:ascii="仿宋_GB2312" w:hAnsi="宋体" w:eastAsia="仿宋_GB2312" w:cs="仿宋_GB2312"/>
                <w:sz w:val="24"/>
                <w:szCs w:val="24"/>
              </w:rPr>
            </w:pPr>
            <w:r>
              <w:rPr>
                <w:rFonts w:ascii="仿宋_GB2312" w:hAnsi="宋体" w:eastAsia="仿宋_GB2312" w:cs="仿宋_GB2312"/>
                <w:kern w:val="0"/>
                <w:sz w:val="24"/>
                <w:szCs w:val="24"/>
              </w:rPr>
              <w:t>一级指标</w:t>
            </w:r>
          </w:p>
        </w:tc>
        <w:tc>
          <w:tcPr>
            <w:tcW w:w="24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二级指标</w:t>
            </w:r>
          </w:p>
        </w:tc>
        <w:tc>
          <w:tcPr>
            <w:tcW w:w="16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分值</w:t>
            </w:r>
          </w:p>
        </w:tc>
        <w:tc>
          <w:tcPr>
            <w:tcW w:w="205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分值</w:t>
            </w:r>
          </w:p>
        </w:tc>
      </w:tr>
      <w:tr>
        <w:tblPrEx>
          <w:tblCellMar>
            <w:top w:w="0" w:type="dxa"/>
            <w:left w:w="0" w:type="dxa"/>
            <w:bottom w:w="0" w:type="dxa"/>
            <w:right w:w="0" w:type="dxa"/>
          </w:tblCellMar>
        </w:tblPrEx>
        <w:trPr>
          <w:trHeight w:val="400" w:hRule="atLeast"/>
        </w:trPr>
        <w:tc>
          <w:tcPr>
            <w:tcW w:w="2202" w:type="dxa"/>
            <w:vMerge w:val="restar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hint="eastAsia" w:ascii="仿宋_GB2312" w:hAnsi="宋体" w:eastAsia="仿宋_GB2312" w:cs="仿宋_GB2312"/>
                <w:sz w:val="24"/>
                <w:szCs w:val="24"/>
              </w:rPr>
              <w:t>决策</w:t>
            </w:r>
          </w:p>
        </w:tc>
        <w:tc>
          <w:tcPr>
            <w:tcW w:w="24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目标设定</w:t>
            </w:r>
          </w:p>
        </w:tc>
        <w:tc>
          <w:tcPr>
            <w:tcW w:w="16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left="0" w:leftChars="0"/>
              <w:jc w:val="center"/>
              <w:rPr>
                <w:rFonts w:ascii="仿宋_GB2312" w:hAnsi="宋体" w:eastAsia="仿宋_GB2312" w:cs="仿宋_GB2312"/>
                <w:sz w:val="24"/>
                <w:szCs w:val="24"/>
              </w:rPr>
            </w:pPr>
            <w:r>
              <w:rPr>
                <w:rFonts w:hint="eastAsia" w:ascii="Times New Roman" w:hAnsi="Times New Roman" w:eastAsia="仿宋_GB2312" w:cs="Times New Roman"/>
                <w:kern w:val="0"/>
                <w:sz w:val="24"/>
                <w:szCs w:val="24"/>
              </w:rPr>
              <w:t>4</w:t>
            </w:r>
          </w:p>
        </w:tc>
        <w:tc>
          <w:tcPr>
            <w:tcW w:w="2050" w:type="dxa"/>
            <w:vMerge w:val="restar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left="0" w:leftChars="0"/>
              <w:jc w:val="center"/>
              <w:rPr>
                <w:rFonts w:ascii="仿宋_GB2312" w:hAnsi="宋体" w:eastAsia="仿宋_GB2312" w:cs="仿宋_GB2312"/>
                <w:kern w:val="0"/>
                <w:sz w:val="24"/>
                <w:szCs w:val="24"/>
              </w:rPr>
            </w:pPr>
            <w:r>
              <w:rPr>
                <w:rFonts w:hint="eastAsia" w:ascii="Times New Roman" w:hAnsi="Times New Roman" w:eastAsia="仿宋_GB2312" w:cs="Times New Roman"/>
                <w:kern w:val="0"/>
                <w:sz w:val="24"/>
                <w:szCs w:val="24"/>
              </w:rPr>
              <w:t>10</w:t>
            </w:r>
          </w:p>
        </w:tc>
      </w:tr>
      <w:tr>
        <w:tblPrEx>
          <w:tblCellMar>
            <w:top w:w="0" w:type="dxa"/>
            <w:left w:w="0" w:type="dxa"/>
            <w:bottom w:w="0" w:type="dxa"/>
            <w:right w:w="0" w:type="dxa"/>
          </w:tblCellMar>
        </w:tblPrEx>
        <w:trPr>
          <w:trHeight w:val="400" w:hRule="atLeast"/>
        </w:trPr>
        <w:tc>
          <w:tcPr>
            <w:tcW w:w="2202" w:type="dxa"/>
            <w:vMerge w:val="continue"/>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ascii="仿宋_GB2312" w:hAnsi="宋体" w:eastAsia="仿宋_GB2312" w:cs="仿宋_GB2312"/>
                <w:sz w:val="24"/>
                <w:szCs w:val="24"/>
              </w:rPr>
            </w:pPr>
          </w:p>
        </w:tc>
        <w:tc>
          <w:tcPr>
            <w:tcW w:w="24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预算编制</w:t>
            </w:r>
          </w:p>
        </w:tc>
        <w:tc>
          <w:tcPr>
            <w:tcW w:w="16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left="0" w:leftChars="0"/>
              <w:jc w:val="center"/>
              <w:rPr>
                <w:rFonts w:ascii="仿宋_GB2312" w:hAnsi="宋体" w:eastAsia="仿宋_GB2312" w:cs="仿宋_GB2312"/>
                <w:sz w:val="24"/>
                <w:szCs w:val="24"/>
              </w:rPr>
            </w:pPr>
            <w:r>
              <w:rPr>
                <w:rFonts w:hint="eastAsia" w:ascii="Times New Roman" w:hAnsi="Times New Roman" w:eastAsia="仿宋_GB2312" w:cs="Times New Roman"/>
                <w:kern w:val="0"/>
                <w:sz w:val="24"/>
                <w:szCs w:val="24"/>
              </w:rPr>
              <w:t>6</w:t>
            </w:r>
          </w:p>
        </w:tc>
        <w:tc>
          <w:tcPr>
            <w:tcW w:w="2050" w:type="dxa"/>
            <w:vMerge w:val="continue"/>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firstLine="615"/>
              <w:jc w:val="center"/>
              <w:rPr>
                <w:rFonts w:ascii="仿宋_GB2312" w:hAnsi="宋体" w:eastAsia="仿宋_GB2312" w:cs="仿宋_GB2312"/>
                <w:kern w:val="0"/>
                <w:sz w:val="24"/>
                <w:szCs w:val="24"/>
              </w:rPr>
            </w:pPr>
          </w:p>
        </w:tc>
      </w:tr>
      <w:tr>
        <w:tblPrEx>
          <w:tblCellMar>
            <w:top w:w="0" w:type="dxa"/>
            <w:left w:w="0" w:type="dxa"/>
            <w:bottom w:w="0" w:type="dxa"/>
            <w:right w:w="0" w:type="dxa"/>
          </w:tblCellMar>
        </w:tblPrEx>
        <w:trPr>
          <w:trHeight w:val="400" w:hRule="atLeast"/>
        </w:trPr>
        <w:tc>
          <w:tcPr>
            <w:tcW w:w="2202" w:type="dxa"/>
            <w:vMerge w:val="restar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过程</w:t>
            </w:r>
          </w:p>
        </w:tc>
        <w:tc>
          <w:tcPr>
            <w:tcW w:w="24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left="0" w:leftChars="0"/>
              <w:jc w:val="center"/>
              <w:rPr>
                <w:rFonts w:ascii="仿宋_GB2312" w:hAnsi="宋体" w:eastAsia="仿宋_GB2312" w:cs="仿宋_GB2312"/>
                <w:sz w:val="24"/>
                <w:szCs w:val="24"/>
              </w:rPr>
            </w:pPr>
            <w:r>
              <w:rPr>
                <w:rFonts w:hint="eastAsia" w:ascii="Times New Roman" w:hAnsi="Times New Roman" w:eastAsia="仿宋_GB2312" w:cs="Times New Roman"/>
                <w:kern w:val="0"/>
                <w:sz w:val="24"/>
                <w:szCs w:val="24"/>
              </w:rPr>
              <w:t>预算执行</w:t>
            </w:r>
          </w:p>
        </w:tc>
        <w:tc>
          <w:tcPr>
            <w:tcW w:w="16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left="0" w:leftChars="0"/>
              <w:jc w:val="center"/>
              <w:rPr>
                <w:rFonts w:ascii="仿宋_GB2312" w:hAnsi="宋体" w:eastAsia="仿宋_GB2312" w:cs="仿宋_GB2312"/>
                <w:kern w:val="0"/>
                <w:sz w:val="24"/>
                <w:szCs w:val="24"/>
              </w:rPr>
            </w:pPr>
            <w:r>
              <w:rPr>
                <w:rFonts w:hint="eastAsia" w:ascii="Times New Roman" w:hAnsi="Times New Roman" w:eastAsia="仿宋_GB2312" w:cs="Times New Roman"/>
                <w:kern w:val="0"/>
                <w:sz w:val="24"/>
                <w:szCs w:val="24"/>
              </w:rPr>
              <w:t>8</w:t>
            </w:r>
          </w:p>
        </w:tc>
        <w:tc>
          <w:tcPr>
            <w:tcW w:w="2050" w:type="dxa"/>
            <w:vMerge w:val="restar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left="0" w:leftChars="0"/>
              <w:jc w:val="center"/>
              <w:rPr>
                <w:rFonts w:ascii="仿宋_GB2312" w:hAnsi="宋体" w:eastAsia="仿宋_GB2312" w:cs="仿宋_GB2312"/>
                <w:kern w:val="0"/>
                <w:sz w:val="24"/>
                <w:szCs w:val="24"/>
              </w:rPr>
            </w:pPr>
            <w:r>
              <w:rPr>
                <w:rFonts w:hint="eastAsia" w:ascii="Times New Roman" w:hAnsi="Times New Roman" w:eastAsia="仿宋_GB2312" w:cs="Times New Roman"/>
                <w:kern w:val="0"/>
                <w:sz w:val="24"/>
                <w:szCs w:val="24"/>
              </w:rPr>
              <w:t>22</w:t>
            </w:r>
          </w:p>
        </w:tc>
      </w:tr>
      <w:tr>
        <w:tblPrEx>
          <w:tblCellMar>
            <w:top w:w="0" w:type="dxa"/>
            <w:left w:w="0" w:type="dxa"/>
            <w:bottom w:w="0" w:type="dxa"/>
            <w:right w:w="0" w:type="dxa"/>
          </w:tblCellMar>
        </w:tblPrEx>
        <w:trPr>
          <w:trHeight w:val="400" w:hRule="atLeast"/>
        </w:trPr>
        <w:tc>
          <w:tcPr>
            <w:tcW w:w="2202" w:type="dxa"/>
            <w:vMerge w:val="continue"/>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ascii="仿宋_GB2312" w:hAnsi="宋体" w:eastAsia="仿宋_GB2312" w:cs="仿宋_GB2312"/>
                <w:sz w:val="24"/>
                <w:szCs w:val="24"/>
              </w:rPr>
            </w:pPr>
          </w:p>
        </w:tc>
        <w:tc>
          <w:tcPr>
            <w:tcW w:w="24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left="0" w:leftChars="0"/>
              <w:jc w:val="center"/>
              <w:rPr>
                <w:rFonts w:ascii="仿宋_GB2312" w:hAnsi="宋体" w:eastAsia="仿宋_GB2312" w:cs="仿宋_GB2312"/>
                <w:sz w:val="24"/>
                <w:szCs w:val="24"/>
              </w:rPr>
            </w:pPr>
            <w:r>
              <w:rPr>
                <w:rFonts w:hint="eastAsia" w:ascii="Times New Roman" w:hAnsi="Times New Roman" w:eastAsia="仿宋_GB2312" w:cs="Times New Roman"/>
                <w:kern w:val="0"/>
                <w:sz w:val="24"/>
                <w:szCs w:val="24"/>
              </w:rPr>
              <w:t>预算管理</w:t>
            </w:r>
          </w:p>
        </w:tc>
        <w:tc>
          <w:tcPr>
            <w:tcW w:w="16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left="0" w:leftChars="0"/>
              <w:jc w:val="center"/>
              <w:rPr>
                <w:rFonts w:ascii="仿宋_GB2312" w:hAnsi="宋体" w:eastAsia="仿宋_GB2312" w:cs="仿宋_GB2312"/>
                <w:kern w:val="0"/>
                <w:sz w:val="24"/>
                <w:szCs w:val="24"/>
              </w:rPr>
            </w:pPr>
            <w:r>
              <w:rPr>
                <w:rFonts w:hint="eastAsia" w:ascii="Times New Roman" w:hAnsi="Times New Roman" w:eastAsia="仿宋_GB2312" w:cs="Times New Roman"/>
                <w:kern w:val="0"/>
                <w:sz w:val="24"/>
                <w:szCs w:val="24"/>
              </w:rPr>
              <w:t>6</w:t>
            </w:r>
          </w:p>
        </w:tc>
        <w:tc>
          <w:tcPr>
            <w:tcW w:w="2050" w:type="dxa"/>
            <w:vMerge w:val="continue"/>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firstLine="615"/>
              <w:jc w:val="center"/>
              <w:rPr>
                <w:rFonts w:ascii="仿宋_GB2312" w:hAnsi="宋体" w:eastAsia="仿宋_GB2312" w:cs="仿宋_GB2312"/>
                <w:kern w:val="0"/>
                <w:sz w:val="24"/>
                <w:szCs w:val="24"/>
              </w:rPr>
            </w:pPr>
          </w:p>
        </w:tc>
      </w:tr>
      <w:tr>
        <w:tblPrEx>
          <w:tblCellMar>
            <w:top w:w="0" w:type="dxa"/>
            <w:left w:w="0" w:type="dxa"/>
            <w:bottom w:w="0" w:type="dxa"/>
            <w:right w:w="0" w:type="dxa"/>
          </w:tblCellMar>
        </w:tblPrEx>
        <w:trPr>
          <w:trHeight w:val="400" w:hRule="atLeast"/>
        </w:trPr>
        <w:tc>
          <w:tcPr>
            <w:tcW w:w="2202" w:type="dxa"/>
            <w:vMerge w:val="continue"/>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ascii="仿宋_GB2312" w:hAnsi="宋体" w:eastAsia="仿宋_GB2312" w:cs="仿宋_GB2312"/>
                <w:sz w:val="24"/>
                <w:szCs w:val="24"/>
              </w:rPr>
            </w:pPr>
          </w:p>
        </w:tc>
        <w:tc>
          <w:tcPr>
            <w:tcW w:w="24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left="0" w:leftChars="0"/>
              <w:jc w:val="center"/>
              <w:rPr>
                <w:rFonts w:ascii="仿宋_GB2312" w:hAnsi="宋体" w:eastAsia="仿宋_GB2312" w:cs="仿宋_GB2312"/>
                <w:sz w:val="24"/>
                <w:szCs w:val="24"/>
              </w:rPr>
            </w:pPr>
            <w:r>
              <w:rPr>
                <w:rFonts w:hint="eastAsia" w:ascii="Times New Roman" w:hAnsi="Times New Roman" w:eastAsia="仿宋_GB2312" w:cs="Times New Roman"/>
                <w:kern w:val="0"/>
                <w:sz w:val="24"/>
                <w:szCs w:val="24"/>
              </w:rPr>
              <w:t>资产管理</w:t>
            </w:r>
          </w:p>
        </w:tc>
        <w:tc>
          <w:tcPr>
            <w:tcW w:w="16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left="0" w:leftChars="0"/>
              <w:jc w:val="center"/>
              <w:rPr>
                <w:rFonts w:ascii="仿宋_GB2312" w:hAnsi="宋体" w:eastAsia="仿宋_GB2312" w:cs="仿宋_GB2312"/>
                <w:kern w:val="0"/>
                <w:sz w:val="24"/>
                <w:szCs w:val="24"/>
              </w:rPr>
            </w:pPr>
            <w:r>
              <w:rPr>
                <w:rFonts w:hint="eastAsia" w:ascii="Times New Roman" w:hAnsi="Times New Roman" w:eastAsia="仿宋_GB2312" w:cs="Times New Roman"/>
                <w:kern w:val="0"/>
                <w:sz w:val="24"/>
                <w:szCs w:val="24"/>
              </w:rPr>
              <w:t>4</w:t>
            </w:r>
          </w:p>
        </w:tc>
        <w:tc>
          <w:tcPr>
            <w:tcW w:w="2050" w:type="dxa"/>
            <w:vMerge w:val="continue"/>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firstLine="615"/>
              <w:jc w:val="center"/>
              <w:rPr>
                <w:rFonts w:ascii="仿宋_GB2312" w:hAnsi="宋体" w:eastAsia="仿宋_GB2312" w:cs="仿宋_GB2312"/>
                <w:kern w:val="0"/>
                <w:sz w:val="24"/>
                <w:szCs w:val="24"/>
              </w:rPr>
            </w:pPr>
          </w:p>
        </w:tc>
      </w:tr>
      <w:tr>
        <w:tblPrEx>
          <w:tblCellMar>
            <w:top w:w="0" w:type="dxa"/>
            <w:left w:w="0" w:type="dxa"/>
            <w:bottom w:w="0" w:type="dxa"/>
            <w:right w:w="0" w:type="dxa"/>
          </w:tblCellMar>
        </w:tblPrEx>
        <w:trPr>
          <w:trHeight w:val="400" w:hRule="atLeast"/>
        </w:trPr>
        <w:tc>
          <w:tcPr>
            <w:tcW w:w="2202" w:type="dxa"/>
            <w:vMerge w:val="continue"/>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ascii="仿宋_GB2312" w:hAnsi="宋体" w:eastAsia="仿宋_GB2312" w:cs="仿宋_GB2312"/>
                <w:sz w:val="24"/>
                <w:szCs w:val="24"/>
              </w:rPr>
            </w:pPr>
          </w:p>
        </w:tc>
        <w:tc>
          <w:tcPr>
            <w:tcW w:w="24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left="0" w:leftChars="0"/>
              <w:jc w:val="center"/>
              <w:rPr>
                <w:rFonts w:ascii="仿宋_GB2312" w:hAnsi="宋体" w:eastAsia="仿宋_GB2312" w:cs="仿宋_GB2312"/>
                <w:sz w:val="24"/>
                <w:szCs w:val="24"/>
              </w:rPr>
            </w:pPr>
            <w:r>
              <w:rPr>
                <w:rFonts w:hint="eastAsia" w:ascii="Times New Roman" w:hAnsi="Times New Roman" w:eastAsia="仿宋_GB2312" w:cs="Times New Roman"/>
                <w:kern w:val="0"/>
                <w:sz w:val="24"/>
                <w:szCs w:val="24"/>
              </w:rPr>
              <w:t>内控建设</w:t>
            </w:r>
          </w:p>
        </w:tc>
        <w:tc>
          <w:tcPr>
            <w:tcW w:w="16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left="0" w:leftChars="0"/>
              <w:jc w:val="center"/>
              <w:rPr>
                <w:rFonts w:ascii="仿宋_GB2312" w:hAnsi="宋体" w:eastAsia="仿宋_GB2312" w:cs="仿宋_GB2312"/>
                <w:kern w:val="0"/>
                <w:sz w:val="24"/>
                <w:szCs w:val="24"/>
              </w:rPr>
            </w:pPr>
            <w:r>
              <w:rPr>
                <w:rFonts w:hint="eastAsia" w:ascii="Times New Roman" w:hAnsi="Times New Roman" w:eastAsia="仿宋_GB2312" w:cs="Times New Roman"/>
                <w:kern w:val="0"/>
                <w:sz w:val="24"/>
                <w:szCs w:val="24"/>
              </w:rPr>
              <w:t>4</w:t>
            </w:r>
          </w:p>
        </w:tc>
        <w:tc>
          <w:tcPr>
            <w:tcW w:w="2050" w:type="dxa"/>
            <w:vMerge w:val="continue"/>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firstLine="615"/>
              <w:jc w:val="center"/>
              <w:rPr>
                <w:rFonts w:ascii="仿宋_GB2312" w:hAnsi="宋体" w:eastAsia="仿宋_GB2312" w:cs="仿宋_GB2312"/>
                <w:kern w:val="0"/>
                <w:sz w:val="24"/>
                <w:szCs w:val="24"/>
              </w:rPr>
            </w:pPr>
          </w:p>
        </w:tc>
      </w:tr>
      <w:tr>
        <w:tblPrEx>
          <w:tblCellMar>
            <w:top w:w="0" w:type="dxa"/>
            <w:left w:w="0" w:type="dxa"/>
            <w:bottom w:w="0" w:type="dxa"/>
            <w:right w:w="0" w:type="dxa"/>
          </w:tblCellMar>
        </w:tblPrEx>
        <w:trPr>
          <w:trHeight w:val="400" w:hRule="atLeast"/>
        </w:trPr>
        <w:tc>
          <w:tcPr>
            <w:tcW w:w="220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产出</w:t>
            </w:r>
          </w:p>
        </w:tc>
        <w:tc>
          <w:tcPr>
            <w:tcW w:w="24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职责履行</w:t>
            </w:r>
          </w:p>
        </w:tc>
        <w:tc>
          <w:tcPr>
            <w:tcW w:w="16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left="0" w:leftChars="0"/>
              <w:jc w:val="center"/>
              <w:rPr>
                <w:rFonts w:ascii="仿宋_GB2312" w:hAnsi="宋体" w:eastAsia="仿宋_GB2312" w:cs="仿宋_GB2312"/>
                <w:sz w:val="24"/>
                <w:szCs w:val="24"/>
              </w:rPr>
            </w:pPr>
            <w:r>
              <w:rPr>
                <w:rFonts w:hint="eastAsia" w:ascii="Times New Roman" w:hAnsi="Times New Roman" w:eastAsia="仿宋_GB2312" w:cs="Times New Roman"/>
                <w:kern w:val="0"/>
                <w:sz w:val="24"/>
                <w:szCs w:val="24"/>
              </w:rPr>
              <w:t>18</w:t>
            </w:r>
          </w:p>
        </w:tc>
        <w:tc>
          <w:tcPr>
            <w:tcW w:w="205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left="0" w:leftChars="0"/>
              <w:jc w:val="center"/>
              <w:rPr>
                <w:rFonts w:ascii="仿宋_GB2312" w:hAnsi="宋体" w:eastAsia="仿宋_GB2312" w:cs="仿宋_GB2312"/>
                <w:kern w:val="0"/>
                <w:sz w:val="24"/>
                <w:szCs w:val="24"/>
              </w:rPr>
            </w:pPr>
            <w:r>
              <w:rPr>
                <w:rFonts w:hint="eastAsia" w:ascii="Times New Roman" w:hAnsi="Times New Roman" w:eastAsia="仿宋_GB2312" w:cs="Times New Roman"/>
                <w:kern w:val="0"/>
                <w:sz w:val="24"/>
                <w:szCs w:val="24"/>
              </w:rPr>
              <w:t>18</w:t>
            </w:r>
          </w:p>
        </w:tc>
      </w:tr>
      <w:tr>
        <w:tblPrEx>
          <w:tblCellMar>
            <w:top w:w="0" w:type="dxa"/>
            <w:left w:w="0" w:type="dxa"/>
            <w:bottom w:w="0" w:type="dxa"/>
            <w:right w:w="0" w:type="dxa"/>
          </w:tblCellMar>
        </w:tblPrEx>
        <w:trPr>
          <w:trHeight w:val="400" w:hRule="atLeast"/>
        </w:trPr>
        <w:tc>
          <w:tcPr>
            <w:tcW w:w="2202" w:type="dxa"/>
            <w:vMerge w:val="restar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效果</w:t>
            </w:r>
          </w:p>
        </w:tc>
        <w:tc>
          <w:tcPr>
            <w:tcW w:w="24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履职效益</w:t>
            </w:r>
          </w:p>
        </w:tc>
        <w:tc>
          <w:tcPr>
            <w:tcW w:w="16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left="0" w:leftChars="0"/>
              <w:jc w:val="center"/>
              <w:rPr>
                <w:rFonts w:ascii="仿宋_GB2312" w:hAnsi="宋体" w:eastAsia="仿宋_GB2312" w:cs="仿宋_GB2312"/>
                <w:sz w:val="24"/>
                <w:szCs w:val="24"/>
              </w:rPr>
            </w:pPr>
            <w:r>
              <w:rPr>
                <w:rFonts w:hint="eastAsia" w:ascii="Times New Roman" w:hAnsi="Times New Roman" w:eastAsia="仿宋_GB2312" w:cs="Times New Roman"/>
                <w:kern w:val="0"/>
                <w:sz w:val="24"/>
                <w:szCs w:val="24"/>
              </w:rPr>
              <w:t>40</w:t>
            </w:r>
          </w:p>
        </w:tc>
        <w:tc>
          <w:tcPr>
            <w:tcW w:w="2050" w:type="dxa"/>
            <w:vMerge w:val="restar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left="0" w:leftChars="0"/>
              <w:jc w:val="center"/>
              <w:rPr>
                <w:rFonts w:ascii="仿宋_GB2312" w:hAnsi="宋体" w:eastAsia="仿宋_GB2312" w:cs="仿宋_GB2312"/>
                <w:kern w:val="0"/>
                <w:sz w:val="24"/>
                <w:szCs w:val="24"/>
              </w:rPr>
            </w:pPr>
            <w:r>
              <w:rPr>
                <w:rFonts w:hint="eastAsia" w:ascii="Times New Roman" w:hAnsi="Times New Roman" w:eastAsia="仿宋_GB2312" w:cs="Times New Roman"/>
                <w:kern w:val="0"/>
                <w:sz w:val="24"/>
                <w:szCs w:val="24"/>
              </w:rPr>
              <w:t>50</w:t>
            </w:r>
          </w:p>
        </w:tc>
      </w:tr>
      <w:tr>
        <w:tblPrEx>
          <w:tblCellMar>
            <w:top w:w="0" w:type="dxa"/>
            <w:left w:w="0" w:type="dxa"/>
            <w:bottom w:w="0" w:type="dxa"/>
            <w:right w:w="0" w:type="dxa"/>
          </w:tblCellMar>
        </w:tblPrEx>
        <w:trPr>
          <w:trHeight w:val="400" w:hRule="atLeast"/>
        </w:trPr>
        <w:tc>
          <w:tcPr>
            <w:tcW w:w="2202" w:type="dxa"/>
            <w:vMerge w:val="continue"/>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ascii="仿宋_GB2312" w:hAnsi="宋体" w:eastAsia="仿宋_GB2312" w:cs="仿宋_GB2312"/>
                <w:sz w:val="24"/>
                <w:szCs w:val="24"/>
              </w:rPr>
            </w:pPr>
          </w:p>
        </w:tc>
        <w:tc>
          <w:tcPr>
            <w:tcW w:w="24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满意度</w:t>
            </w:r>
          </w:p>
        </w:tc>
        <w:tc>
          <w:tcPr>
            <w:tcW w:w="16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left="0" w:leftChars="0"/>
              <w:jc w:val="center"/>
              <w:rPr>
                <w:rFonts w:ascii="仿宋_GB2312" w:hAnsi="宋体" w:eastAsia="仿宋_GB2312" w:cs="仿宋_GB2312"/>
                <w:sz w:val="24"/>
                <w:szCs w:val="24"/>
              </w:rPr>
            </w:pPr>
            <w:r>
              <w:rPr>
                <w:rFonts w:hint="eastAsia" w:ascii="Times New Roman" w:hAnsi="Times New Roman" w:eastAsia="仿宋_GB2312" w:cs="Times New Roman"/>
                <w:kern w:val="0"/>
                <w:sz w:val="24"/>
                <w:szCs w:val="24"/>
              </w:rPr>
              <w:t>10</w:t>
            </w:r>
          </w:p>
        </w:tc>
        <w:tc>
          <w:tcPr>
            <w:tcW w:w="2050" w:type="dxa"/>
            <w:vMerge w:val="continue"/>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firstLine="615"/>
              <w:jc w:val="center"/>
              <w:rPr>
                <w:rFonts w:ascii="仿宋_GB2312" w:hAnsi="宋体" w:eastAsia="仿宋_GB2312" w:cs="仿宋_GB2312"/>
                <w:kern w:val="0"/>
                <w:sz w:val="24"/>
                <w:szCs w:val="24"/>
              </w:rPr>
            </w:pPr>
          </w:p>
        </w:tc>
      </w:tr>
      <w:tr>
        <w:tblPrEx>
          <w:tblCellMar>
            <w:top w:w="0" w:type="dxa"/>
            <w:left w:w="0" w:type="dxa"/>
            <w:bottom w:w="0" w:type="dxa"/>
            <w:right w:w="0" w:type="dxa"/>
          </w:tblCellMar>
        </w:tblPrEx>
        <w:trPr>
          <w:trHeight w:val="400" w:hRule="atLeast"/>
        </w:trPr>
        <w:tc>
          <w:tcPr>
            <w:tcW w:w="220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合计</w:t>
            </w:r>
          </w:p>
        </w:tc>
        <w:tc>
          <w:tcPr>
            <w:tcW w:w="24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ascii="仿宋_GB2312" w:hAnsi="宋体" w:eastAsia="仿宋_GB2312" w:cs="仿宋_GB2312"/>
                <w:sz w:val="24"/>
                <w:szCs w:val="24"/>
              </w:rPr>
            </w:pPr>
          </w:p>
        </w:tc>
        <w:tc>
          <w:tcPr>
            <w:tcW w:w="16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left="0" w:leftChars="0"/>
              <w:jc w:val="center"/>
              <w:rPr>
                <w:rFonts w:ascii="仿宋_GB2312" w:hAnsi="宋体" w:eastAsia="仿宋_GB2312" w:cs="仿宋_GB2312"/>
                <w:sz w:val="24"/>
                <w:szCs w:val="24"/>
              </w:rPr>
            </w:pPr>
            <w:r>
              <w:rPr>
                <w:rFonts w:hint="eastAsia" w:ascii="Times New Roman" w:hAnsi="Times New Roman" w:eastAsia="仿宋_GB2312" w:cs="Times New Roman"/>
                <w:kern w:val="0"/>
                <w:sz w:val="24"/>
                <w:szCs w:val="24"/>
              </w:rPr>
              <w:t>100</w:t>
            </w:r>
          </w:p>
        </w:tc>
        <w:tc>
          <w:tcPr>
            <w:tcW w:w="205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pStyle w:val="11"/>
              <w:ind w:left="0" w:leftChars="0"/>
              <w:jc w:val="center"/>
              <w:rPr>
                <w:rFonts w:ascii="仿宋_GB2312" w:hAnsi="宋体" w:eastAsia="仿宋_GB2312" w:cs="仿宋_GB2312"/>
                <w:kern w:val="0"/>
                <w:sz w:val="24"/>
                <w:szCs w:val="24"/>
              </w:rPr>
            </w:pPr>
            <w:r>
              <w:rPr>
                <w:rFonts w:hint="eastAsia" w:ascii="Times New Roman" w:hAnsi="Times New Roman" w:eastAsia="仿宋_GB2312" w:cs="Times New Roman"/>
                <w:kern w:val="0"/>
                <w:sz w:val="24"/>
                <w:szCs w:val="24"/>
              </w:rPr>
              <w:t>100</w:t>
            </w:r>
          </w:p>
        </w:tc>
      </w:tr>
    </w:tbl>
    <w:p>
      <w:pPr>
        <w:widowControl/>
        <w:numPr>
          <w:ilvl w:val="0"/>
          <w:numId w:val="4"/>
        </w:numPr>
        <w:tabs>
          <w:tab w:val="left" w:pos="2740"/>
        </w:tabs>
        <w:adjustRightInd w:val="0"/>
        <w:snapToGrid w:val="0"/>
        <w:spacing w:line="580" w:lineRule="exact"/>
        <w:ind w:firstLine="640" w:firstLineChars="200"/>
        <w:jc w:val="left"/>
        <w:outlineLvl w:val="2"/>
        <w:rPr>
          <w:rFonts w:ascii="仿宋_GB2312" w:hAnsi="仿宋_GB2312" w:eastAsia="仿宋_GB2312" w:cs="仿宋_GB2312"/>
          <w:bCs/>
          <w:kern w:val="0"/>
          <w:sz w:val="32"/>
          <w:szCs w:val="32"/>
        </w:rPr>
      </w:pPr>
      <w:bookmarkStart w:id="26" w:name="_Toc31092"/>
      <w:bookmarkStart w:id="27" w:name="_Toc13884"/>
      <w:r>
        <w:rPr>
          <w:rFonts w:hint="eastAsia" w:ascii="仿宋_GB2312" w:hAnsi="仿宋_GB2312" w:eastAsia="仿宋_GB2312" w:cs="仿宋_GB2312"/>
          <w:bCs/>
          <w:kern w:val="0"/>
          <w:sz w:val="32"/>
          <w:szCs w:val="32"/>
        </w:rPr>
        <w:t>评价级别</w:t>
      </w:r>
      <w:bookmarkEnd w:id="26"/>
      <w:bookmarkEnd w:id="27"/>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bookmarkStart w:id="28" w:name="_Toc6002"/>
      <w:bookmarkStart w:id="29" w:name="_Toc29702"/>
      <w:bookmarkStart w:id="30" w:name="_Toc22189"/>
      <w:bookmarkStart w:id="31" w:name="_Toc5851"/>
      <w:r>
        <w:rPr>
          <w:rFonts w:hint="eastAsia" w:ascii="仿宋_GB2312" w:hAnsi="仿宋_GB2312" w:eastAsia="仿宋_GB2312" w:cs="仿宋_GB2312"/>
          <w:bCs/>
          <w:kern w:val="0"/>
          <w:sz w:val="32"/>
          <w:szCs w:val="32"/>
        </w:rPr>
        <w:t>本次绩效评价综合绩效级别依据《山东省审计预算支出项目第三方绩效评价工程规程（试行）》文件确定，评价结果包括综合评分和评级，一般分为四个级别：评分100-90为“优”（成效显著），评分89-80为“良”（成效明显），评分79 -70为“中”（成效一般），评分69分及以下为“差”（成效较差）。如果项目缺乏用来说明现有绩效的资料，或者主管部分与项目单位无法对部门的绩效目标完成情况达成一致，则项目定级结果为无法显示成效。</w:t>
      </w:r>
      <w:bookmarkEnd w:id="28"/>
      <w:bookmarkEnd w:id="29"/>
      <w:bookmarkEnd w:id="30"/>
      <w:bookmarkEnd w:id="31"/>
    </w:p>
    <w:p>
      <w:pPr>
        <w:pStyle w:val="4"/>
        <w:adjustRightInd w:val="0"/>
        <w:snapToGrid w:val="0"/>
        <w:spacing w:line="360" w:lineRule="auto"/>
        <w:ind w:firstLine="640"/>
        <w:rPr>
          <w:rFonts w:eastAsia="楷体_GB2312"/>
          <w:bCs/>
          <w:sz w:val="32"/>
          <w:szCs w:val="32"/>
          <w:lang w:val="en-US"/>
        </w:rPr>
      </w:pPr>
      <w:r>
        <w:rPr>
          <w:rFonts w:hint="eastAsia" w:eastAsia="楷体_GB2312"/>
          <w:bCs/>
          <w:sz w:val="32"/>
          <w:szCs w:val="32"/>
          <w:lang w:val="en-US"/>
        </w:rPr>
        <w:t>（五）绩效评价人员组成</w:t>
      </w:r>
    </w:p>
    <w:p>
      <w:pPr>
        <w:pStyle w:val="4"/>
        <w:adjustRightInd w:val="0"/>
        <w:snapToGrid w:val="0"/>
        <w:spacing w:line="360" w:lineRule="auto"/>
        <w:ind w:firstLine="640"/>
        <w:rPr>
          <w:rFonts w:eastAsia="楷体_GB2312"/>
          <w:bCs/>
          <w:sz w:val="32"/>
          <w:szCs w:val="32"/>
          <w:lang w:val="en-US"/>
        </w:rPr>
      </w:pPr>
      <w:r>
        <w:rPr>
          <w:rFonts w:hint="eastAsia" w:eastAsia="楷体_GB2312"/>
          <w:bCs/>
          <w:sz w:val="32"/>
          <w:szCs w:val="32"/>
          <w:lang w:val="en-US"/>
        </w:rPr>
        <w:t>郁有平、王虎、胡静</w:t>
      </w:r>
    </w:p>
    <w:p>
      <w:pPr>
        <w:pStyle w:val="4"/>
        <w:adjustRightInd w:val="0"/>
        <w:snapToGrid w:val="0"/>
        <w:spacing w:line="360" w:lineRule="auto"/>
        <w:ind w:firstLine="640"/>
        <w:rPr>
          <w:rFonts w:eastAsia="楷体_GB2312"/>
          <w:bCs/>
          <w:sz w:val="32"/>
          <w:szCs w:val="32"/>
          <w:lang w:val="en-US"/>
        </w:rPr>
      </w:pPr>
      <w:r>
        <w:rPr>
          <w:rFonts w:hint="eastAsia" w:eastAsia="楷体_GB2312"/>
          <w:bCs/>
          <w:sz w:val="32"/>
          <w:szCs w:val="32"/>
          <w:lang w:val="en-US"/>
        </w:rPr>
        <w:t>（六）绩效评价工作过程</w:t>
      </w:r>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bookmarkStart w:id="32" w:name="_Toc5628"/>
      <w:bookmarkStart w:id="33" w:name="_Toc16128"/>
      <w:bookmarkStart w:id="34" w:name="_Toc22760"/>
      <w:r>
        <w:rPr>
          <w:rFonts w:hint="eastAsia" w:ascii="仿宋_GB2312" w:hAnsi="仿宋_GB2312" w:eastAsia="仿宋_GB2312" w:cs="仿宋_GB2312"/>
          <w:bCs/>
          <w:kern w:val="0"/>
          <w:sz w:val="32"/>
          <w:szCs w:val="32"/>
        </w:rPr>
        <w:t>1、评价准备阶段</w:t>
      </w:r>
      <w:bookmarkEnd w:id="32"/>
      <w:bookmarkEnd w:id="33"/>
      <w:bookmarkEnd w:id="34"/>
      <w:bookmarkStart w:id="35" w:name="_Toc28653"/>
      <w:bookmarkStart w:id="36" w:name="_Toc12119"/>
      <w:bookmarkStart w:id="37" w:name="_Toc27232"/>
      <w:bookmarkStart w:id="38" w:name="_Toc2792"/>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（1）成立评价小组，明确工作要求，搜集前期资料。</w:t>
      </w:r>
      <w:bookmarkEnd w:id="35"/>
      <w:bookmarkEnd w:id="36"/>
      <w:bookmarkEnd w:id="37"/>
      <w:bookmarkEnd w:id="38"/>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bookmarkStart w:id="39" w:name="_Toc19983"/>
      <w:bookmarkStart w:id="40" w:name="_Toc21596"/>
      <w:bookmarkStart w:id="41" w:name="_Toc30694"/>
      <w:bookmarkStart w:id="42" w:name="_Toc6092"/>
      <w:r>
        <w:rPr>
          <w:rFonts w:hint="eastAsia" w:ascii="仿宋_GB2312" w:hAnsi="仿宋_GB2312" w:eastAsia="仿宋_GB2312" w:cs="仿宋_GB2312"/>
          <w:bCs/>
          <w:kern w:val="0"/>
          <w:sz w:val="32"/>
          <w:szCs w:val="32"/>
        </w:rPr>
        <w:t>项目负责人：郁有平、王虎根据绩效评价工作要求，实施评价，出具相关评价意见。</w:t>
      </w:r>
      <w:bookmarkEnd w:id="39"/>
      <w:bookmarkEnd w:id="40"/>
      <w:bookmarkEnd w:id="41"/>
      <w:bookmarkEnd w:id="42"/>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bookmarkStart w:id="43" w:name="_Toc9149"/>
      <w:bookmarkStart w:id="44" w:name="_Toc9573"/>
      <w:bookmarkStart w:id="45" w:name="_Toc28426"/>
      <w:bookmarkStart w:id="46" w:name="_Toc29074"/>
      <w:r>
        <w:rPr>
          <w:rFonts w:hint="eastAsia" w:ascii="仿宋_GB2312" w:hAnsi="仿宋_GB2312" w:eastAsia="仿宋_GB2312" w:cs="仿宋_GB2312"/>
          <w:bCs/>
          <w:kern w:val="0"/>
          <w:sz w:val="32"/>
          <w:szCs w:val="32"/>
        </w:rPr>
        <w:t>组员：胡静等，根据绩效评价工作要求，协助完成评价。</w:t>
      </w:r>
      <w:bookmarkEnd w:id="43"/>
      <w:bookmarkEnd w:id="44"/>
      <w:bookmarkEnd w:id="45"/>
      <w:bookmarkEnd w:id="46"/>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bookmarkStart w:id="47" w:name="_Toc13673"/>
      <w:bookmarkStart w:id="48" w:name="_Toc26491"/>
      <w:bookmarkStart w:id="49" w:name="_Toc30722"/>
      <w:bookmarkStart w:id="50" w:name="_Toc22769"/>
      <w:r>
        <w:rPr>
          <w:rFonts w:hint="eastAsia" w:ascii="仿宋_GB2312" w:hAnsi="仿宋_GB2312" w:eastAsia="仿宋_GB2312" w:cs="仿宋_GB2312"/>
          <w:bCs/>
          <w:kern w:val="0"/>
          <w:sz w:val="32"/>
          <w:szCs w:val="32"/>
        </w:rPr>
        <w:t>（2）制定评价方案，编制评价指标体系。制定评价方案，进一步明确评价目的、对象、方法、程序、进度、人员安排等内容。初步编制评价指标体系，明确评价框架和要点。评价方案经评价工作组组长确认，修改完善后，与主管部门沟通，作为本次绩效评价工作开展的依据。</w:t>
      </w:r>
      <w:bookmarkEnd w:id="47"/>
      <w:bookmarkEnd w:id="48"/>
      <w:bookmarkEnd w:id="49"/>
      <w:bookmarkEnd w:id="50"/>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bookmarkStart w:id="51" w:name="_Toc1539"/>
      <w:bookmarkStart w:id="52" w:name="_Toc5870"/>
      <w:bookmarkStart w:id="53" w:name="_Toc7068"/>
      <w:r>
        <w:rPr>
          <w:rFonts w:hint="eastAsia" w:ascii="仿宋_GB2312" w:hAnsi="仿宋_GB2312" w:eastAsia="仿宋_GB2312" w:cs="仿宋_GB2312"/>
          <w:bCs/>
          <w:kern w:val="0"/>
          <w:sz w:val="32"/>
          <w:szCs w:val="32"/>
        </w:rPr>
        <w:t>2、评价实施阶段</w:t>
      </w:r>
      <w:bookmarkEnd w:id="51"/>
      <w:bookmarkEnd w:id="52"/>
      <w:bookmarkEnd w:id="53"/>
      <w:bookmarkStart w:id="54" w:name="_Toc18296"/>
      <w:bookmarkStart w:id="55" w:name="_Toc6607"/>
      <w:bookmarkStart w:id="56" w:name="_Toc32269"/>
      <w:bookmarkStart w:id="57" w:name="_Toc19409"/>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1）收集、整理及审核项目资料。评价工作组依据资料收集清单开展资料收集工作。对收集到的资料，进行详细的工作记录，对于缺失的资料和不予提供的资料予以文字说明。在此基础上制定调研记录表和评价表格等。</w:t>
      </w:r>
      <w:bookmarkEnd w:id="54"/>
      <w:bookmarkEnd w:id="55"/>
      <w:bookmarkEnd w:id="56"/>
      <w:bookmarkEnd w:id="57"/>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bookmarkStart w:id="58" w:name="_Toc9335"/>
      <w:bookmarkStart w:id="59" w:name="_Toc22594"/>
      <w:bookmarkStart w:id="60" w:name="_Toc16048"/>
      <w:bookmarkStart w:id="61" w:name="_Toc28577"/>
      <w:r>
        <w:rPr>
          <w:rFonts w:hint="eastAsia" w:ascii="仿宋_GB2312" w:hAnsi="仿宋_GB2312" w:eastAsia="仿宋_GB2312" w:cs="仿宋_GB2312"/>
          <w:bCs/>
          <w:kern w:val="0"/>
          <w:sz w:val="32"/>
          <w:szCs w:val="32"/>
        </w:rPr>
        <w:t>（2）完善绩效评价指标体系。召开座谈会，听取相关主管部门、资金使用单位关于项目实施的意见，进一步修改实施方案和完善指标体系。完善后的评价指标体系经评价工作组组长确认，报备区财政局。</w:t>
      </w:r>
      <w:bookmarkEnd w:id="58"/>
      <w:bookmarkEnd w:id="59"/>
      <w:bookmarkEnd w:id="60"/>
      <w:bookmarkEnd w:id="61"/>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bookmarkStart w:id="62" w:name="_Toc22582"/>
      <w:bookmarkStart w:id="63" w:name="_Toc22776"/>
      <w:bookmarkStart w:id="64" w:name="_Toc26518"/>
      <w:bookmarkStart w:id="65" w:name="_Toc7169"/>
      <w:r>
        <w:rPr>
          <w:rFonts w:hint="eastAsia" w:ascii="仿宋_GB2312" w:hAnsi="仿宋_GB2312" w:eastAsia="仿宋_GB2312" w:cs="仿宋_GB2312"/>
          <w:bCs/>
          <w:kern w:val="0"/>
          <w:sz w:val="32"/>
          <w:szCs w:val="32"/>
        </w:rPr>
        <w:t>（3）现场评价。评价小组赴被评价部门、单位及项目现场，采取</w:t>
      </w:r>
      <w:bookmarkStart w:id="66" w:name="OLE_LINK61"/>
      <w:r>
        <w:rPr>
          <w:rFonts w:hint="eastAsia" w:ascii="仿宋_GB2312" w:hAnsi="仿宋_GB2312" w:eastAsia="仿宋_GB2312" w:cs="仿宋_GB2312"/>
          <w:bCs/>
          <w:kern w:val="0"/>
          <w:sz w:val="32"/>
          <w:szCs w:val="32"/>
        </w:rPr>
        <w:t>勘察</w:t>
      </w:r>
      <w:bookmarkEnd w:id="66"/>
      <w:r>
        <w:rPr>
          <w:rFonts w:hint="eastAsia" w:ascii="仿宋_GB2312" w:hAnsi="仿宋_GB2312" w:eastAsia="仿宋_GB2312" w:cs="仿宋_GB2312"/>
          <w:bCs/>
          <w:kern w:val="0"/>
          <w:sz w:val="32"/>
          <w:szCs w:val="32"/>
        </w:rPr>
        <w:t>、询问、复核等方式，对有关情况进行核实，对项目绩效目标实现程度及效果进行评价。</w:t>
      </w:r>
      <w:bookmarkEnd w:id="62"/>
      <w:bookmarkEnd w:id="63"/>
      <w:bookmarkEnd w:id="64"/>
      <w:bookmarkEnd w:id="65"/>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bookmarkStart w:id="67" w:name="_Toc11525"/>
      <w:bookmarkStart w:id="68" w:name="_Toc18266"/>
      <w:bookmarkStart w:id="69" w:name="_Toc5344"/>
      <w:bookmarkStart w:id="70" w:name="_Toc24084"/>
      <w:r>
        <w:rPr>
          <w:rFonts w:hint="eastAsia" w:ascii="仿宋_GB2312" w:hAnsi="仿宋_GB2312" w:eastAsia="仿宋_GB2312" w:cs="仿宋_GB2312"/>
          <w:bCs/>
          <w:kern w:val="0"/>
          <w:sz w:val="32"/>
          <w:szCs w:val="32"/>
        </w:rPr>
        <w:t>（4）问卷调查。评价工作组设计调查问卷，有重点的、科学的抽取必要数量的利益相关者进行调查，规范填制调查问卷。</w:t>
      </w:r>
      <w:bookmarkEnd w:id="67"/>
      <w:bookmarkEnd w:id="68"/>
      <w:bookmarkEnd w:id="69"/>
      <w:bookmarkEnd w:id="70"/>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bookmarkStart w:id="71" w:name="_Toc8189"/>
      <w:bookmarkStart w:id="72" w:name="_Toc20598"/>
      <w:bookmarkStart w:id="73" w:name="_Toc22978"/>
      <w:bookmarkStart w:id="74" w:name="_Toc21046"/>
      <w:r>
        <w:rPr>
          <w:rFonts w:hint="eastAsia" w:ascii="仿宋_GB2312" w:hAnsi="仿宋_GB2312" w:eastAsia="仿宋_GB2312" w:cs="仿宋_GB2312"/>
          <w:bCs/>
          <w:kern w:val="0"/>
          <w:sz w:val="32"/>
          <w:szCs w:val="32"/>
        </w:rPr>
        <w:t>（5）专家评价。由项目相关专业人员、财务专家组成专业评价小组，听取工作组汇报前期工作成果，同工作组一起对评价项目进行打分，并提出专业意见。</w:t>
      </w:r>
      <w:bookmarkEnd w:id="71"/>
      <w:bookmarkEnd w:id="72"/>
      <w:bookmarkEnd w:id="73"/>
      <w:bookmarkEnd w:id="74"/>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bookmarkStart w:id="75" w:name="_Toc25772"/>
      <w:bookmarkStart w:id="76" w:name="_Toc32248"/>
      <w:bookmarkStart w:id="77" w:name="_Toc26990"/>
      <w:r>
        <w:rPr>
          <w:rFonts w:hint="eastAsia" w:ascii="仿宋_GB2312" w:hAnsi="仿宋_GB2312" w:eastAsia="仿宋_GB2312" w:cs="仿宋_GB2312"/>
          <w:bCs/>
          <w:kern w:val="0"/>
          <w:sz w:val="32"/>
          <w:szCs w:val="32"/>
        </w:rPr>
        <w:t>3、评价结果形成阶段</w:t>
      </w:r>
      <w:bookmarkEnd w:id="75"/>
      <w:bookmarkEnd w:id="76"/>
      <w:bookmarkEnd w:id="77"/>
      <w:bookmarkStart w:id="78" w:name="_Toc30111"/>
      <w:bookmarkStart w:id="79" w:name="_Toc15627"/>
      <w:bookmarkStart w:id="80" w:name="_Toc6561"/>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（1）撰写完成绩效评价报告初稿。绩效评价报告经评价工作组内部三级审核后，提交城阳区财政局征求意见，并根据有关意见修改完善。</w:t>
      </w:r>
      <w:bookmarkEnd w:id="78"/>
      <w:bookmarkEnd w:id="79"/>
      <w:bookmarkEnd w:id="80"/>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bookmarkStart w:id="81" w:name="_Toc789"/>
      <w:bookmarkStart w:id="82" w:name="_Toc15895"/>
      <w:bookmarkStart w:id="83" w:name="_Toc30055"/>
      <w:r>
        <w:rPr>
          <w:rFonts w:hint="eastAsia" w:ascii="仿宋_GB2312" w:hAnsi="仿宋_GB2312" w:eastAsia="仿宋_GB2312" w:cs="仿宋_GB2312"/>
          <w:bCs/>
          <w:kern w:val="0"/>
          <w:sz w:val="32"/>
          <w:szCs w:val="32"/>
        </w:rPr>
        <w:t>（2）向主管单位反馈评价意见和问题。评价工作组将形成的绩效评价报告初稿与主管部门进行书面沟通，要求其限时反馈。接到主管部门的反馈后，评价工作组根据反馈意见进行修改完善，形成最终绩效评价报告。</w:t>
      </w:r>
      <w:bookmarkEnd w:id="81"/>
      <w:bookmarkEnd w:id="82"/>
      <w:bookmarkEnd w:id="83"/>
    </w:p>
    <w:p>
      <w:pPr>
        <w:widowControl/>
        <w:tabs>
          <w:tab w:val="left" w:pos="2740"/>
        </w:tabs>
        <w:adjustRightInd w:val="0"/>
        <w:snapToGrid w:val="0"/>
        <w:spacing w:line="580" w:lineRule="exact"/>
        <w:ind w:firstLine="640" w:firstLineChars="200"/>
        <w:jc w:val="left"/>
        <w:outlineLvl w:val="0"/>
        <w:rPr>
          <w:rFonts w:ascii="楷体_GB2312" w:hAnsi="楷体_GB2312" w:eastAsia="楷体_GB2312" w:cs="楷体_GB2312"/>
          <w:bCs/>
          <w:sz w:val="32"/>
          <w:szCs w:val="32"/>
          <w:vertAlign w:val="subscript"/>
        </w:rPr>
      </w:pPr>
      <w:bookmarkStart w:id="84" w:name="_Toc15412"/>
      <w:bookmarkStart w:id="85" w:name="_Toc29477"/>
      <w:bookmarkStart w:id="86" w:name="_Toc1685"/>
      <w:r>
        <w:rPr>
          <w:rFonts w:hint="eastAsia" w:ascii="仿宋_GB2312" w:hAnsi="仿宋_GB2312" w:eastAsia="仿宋_GB2312" w:cs="仿宋_GB2312"/>
          <w:bCs/>
          <w:kern w:val="0"/>
          <w:sz w:val="32"/>
          <w:szCs w:val="32"/>
        </w:rPr>
        <w:t>（3）报送绩效评价报告终稿、相关项目资料和工作底稿。评价工作组按照约定时间将绩效评价报告终稿、相关项目资料经评价工作组组长报送青岛市城阳区财政局。</w:t>
      </w:r>
      <w:bookmarkEnd w:id="84"/>
      <w:bookmarkEnd w:id="85"/>
      <w:bookmarkEnd w:id="86"/>
    </w:p>
    <w:p>
      <w:pPr>
        <w:pStyle w:val="5"/>
        <w:numPr>
          <w:ilvl w:val="0"/>
          <w:numId w:val="0"/>
        </w:numPr>
        <w:adjustRightInd w:val="0"/>
        <w:snapToGrid w:val="0"/>
        <w:spacing w:line="580" w:lineRule="exact"/>
        <w:ind w:left="640"/>
        <w:rPr>
          <w:rFonts w:eastAsia="黑体" w:cs="Times New Roman"/>
          <w:b w:val="0"/>
          <w:kern w:val="44"/>
          <w:sz w:val="32"/>
          <w:szCs w:val="44"/>
          <w:lang w:val="en-US"/>
        </w:rPr>
      </w:pPr>
      <w:r>
        <w:rPr>
          <w:rFonts w:hint="eastAsia" w:eastAsia="黑体" w:cs="Times New Roman"/>
          <w:b w:val="0"/>
          <w:kern w:val="44"/>
          <w:sz w:val="32"/>
          <w:szCs w:val="44"/>
          <w:lang w:val="en-US"/>
        </w:rPr>
        <w:t>三、评价结论与绩效分析</w:t>
      </w:r>
    </w:p>
    <w:p>
      <w:pPr>
        <w:pStyle w:val="3"/>
        <w:numPr>
          <w:ilvl w:val="0"/>
          <w:numId w:val="0"/>
        </w:numPr>
        <w:adjustRightInd w:val="0"/>
        <w:snapToGrid w:val="0"/>
        <w:spacing w:line="580" w:lineRule="exact"/>
        <w:ind w:left="640"/>
        <w:rPr>
          <w:rFonts w:eastAsia="楷体_GB2312"/>
          <w:kern w:val="0"/>
          <w:szCs w:val="32"/>
          <w:lang w:val="en-US"/>
        </w:rPr>
      </w:pPr>
      <w:r>
        <w:rPr>
          <w:rFonts w:hint="eastAsia" w:eastAsia="楷体_GB2312"/>
          <w:kern w:val="0"/>
          <w:szCs w:val="32"/>
          <w:lang w:val="en-US"/>
        </w:rPr>
        <w:t>（一）评价结论</w:t>
      </w:r>
    </w:p>
    <w:p>
      <w:pPr>
        <w:spacing w:line="58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我们按照规定的绩效评价方案实施了包括检查、询问、现场查看、查阅相关资料等我们认为必要的工作程序，运用科学合理的绩效评价指标、评价标准和评价方法，对青岛市城阳区人民检察院2021年度部门整体支出的经济性和效益性进行了客观公正的评价。</w:t>
      </w:r>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bookmarkStart w:id="87" w:name="_Toc19455"/>
      <w:bookmarkStart w:id="88" w:name="_Toc1067"/>
      <w:bookmarkStart w:id="89" w:name="_Toc31351"/>
      <w:r>
        <w:rPr>
          <w:rFonts w:hint="eastAsia" w:ascii="仿宋_GB2312" w:hAnsi="仿宋_GB2312" w:eastAsia="仿宋_GB2312" w:cs="仿宋_GB2312"/>
          <w:bCs/>
          <w:kern w:val="0"/>
          <w:sz w:val="32"/>
          <w:szCs w:val="32"/>
        </w:rPr>
        <w:t>根据评价分析，青岛市城阳区人民检察院2021年度部门整体支出绩效评价综合得分为88.</w:t>
      </w:r>
      <w:r>
        <w:rPr>
          <w:rFonts w:hint="eastAsia" w:ascii="仿宋_GB2312" w:hAnsi="仿宋_GB2312" w:eastAsia="仿宋_GB2312" w:cs="仿宋_GB2312"/>
          <w:bCs/>
          <w:kern w:val="0"/>
          <w:sz w:val="32"/>
          <w:szCs w:val="32"/>
          <w:lang w:val="en-US" w:eastAsia="zh-CN"/>
        </w:rPr>
        <w:t>9</w:t>
      </w:r>
      <w:r>
        <w:rPr>
          <w:rFonts w:hint="eastAsia" w:ascii="仿宋_GB2312" w:hAnsi="仿宋_GB2312" w:eastAsia="仿宋_GB2312" w:cs="仿宋_GB2312"/>
          <w:bCs/>
          <w:kern w:val="0"/>
          <w:sz w:val="32"/>
          <w:szCs w:val="32"/>
        </w:rPr>
        <w:t>分，评价结果类型为成效明显，评价结果级别为良，评分汇总如下：</w:t>
      </w:r>
      <w:bookmarkEnd w:id="87"/>
      <w:bookmarkEnd w:id="88"/>
      <w:bookmarkEnd w:id="89"/>
    </w:p>
    <w:tbl>
      <w:tblPr>
        <w:tblStyle w:val="22"/>
        <w:tblW w:w="0" w:type="auto"/>
        <w:tblInd w:w="0" w:type="dxa"/>
        <w:tblLayout w:type="fixed"/>
        <w:tblCellMar>
          <w:top w:w="0" w:type="dxa"/>
          <w:left w:w="0" w:type="dxa"/>
          <w:bottom w:w="0" w:type="dxa"/>
          <w:right w:w="0" w:type="dxa"/>
        </w:tblCellMar>
      </w:tblPr>
      <w:tblGrid>
        <w:gridCol w:w="1840"/>
        <w:gridCol w:w="2040"/>
        <w:gridCol w:w="1364"/>
        <w:gridCol w:w="1364"/>
        <w:gridCol w:w="1715"/>
      </w:tblGrid>
      <w:tr>
        <w:tblPrEx>
          <w:tblCellMar>
            <w:top w:w="0" w:type="dxa"/>
            <w:left w:w="0" w:type="dxa"/>
            <w:bottom w:w="0" w:type="dxa"/>
            <w:right w:w="0" w:type="dxa"/>
          </w:tblCellMar>
        </w:tblPrEx>
        <w:trPr>
          <w:trHeight w:val="388" w:hRule="atLeast"/>
        </w:trPr>
        <w:tc>
          <w:tcPr>
            <w:tcW w:w="18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一级指标</w:t>
            </w:r>
          </w:p>
        </w:tc>
        <w:tc>
          <w:tcPr>
            <w:tcW w:w="20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二级指标</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分值</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评价分值</w:t>
            </w:r>
          </w:p>
        </w:tc>
        <w:tc>
          <w:tcPr>
            <w:tcW w:w="171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分值</w:t>
            </w:r>
          </w:p>
        </w:tc>
      </w:tr>
      <w:tr>
        <w:tblPrEx>
          <w:tblCellMar>
            <w:top w:w="0" w:type="dxa"/>
            <w:left w:w="0" w:type="dxa"/>
            <w:bottom w:w="0" w:type="dxa"/>
            <w:right w:w="0" w:type="dxa"/>
          </w:tblCellMar>
        </w:tblPrEx>
        <w:trPr>
          <w:trHeight w:val="400" w:hRule="atLeast"/>
        </w:trPr>
        <w:tc>
          <w:tcPr>
            <w:tcW w:w="1840" w:type="dxa"/>
            <w:vMerge w:val="restar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决策</w:t>
            </w:r>
          </w:p>
        </w:tc>
        <w:tc>
          <w:tcPr>
            <w:tcW w:w="20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目标设定</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5</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hint="eastAsia" w:ascii="仿宋_GB2312" w:hAnsi="宋体" w:eastAsia="仿宋_GB2312" w:cs="仿宋_GB2312"/>
                <w:sz w:val="24"/>
                <w:szCs w:val="24"/>
              </w:rPr>
              <w:t>4.4</w:t>
            </w:r>
          </w:p>
        </w:tc>
        <w:tc>
          <w:tcPr>
            <w:tcW w:w="1715" w:type="dxa"/>
            <w:vMerge w:val="restar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hint="eastAsia" w:ascii="仿宋_GB2312" w:hAnsi="宋体" w:eastAsia="仿宋_GB2312" w:cs="仿宋_GB2312"/>
                <w:sz w:val="24"/>
                <w:szCs w:val="24"/>
              </w:rPr>
              <w:t>9.4</w:t>
            </w:r>
          </w:p>
        </w:tc>
      </w:tr>
      <w:tr>
        <w:tblPrEx>
          <w:tblCellMar>
            <w:top w:w="0" w:type="dxa"/>
            <w:left w:w="0" w:type="dxa"/>
            <w:bottom w:w="0" w:type="dxa"/>
            <w:right w:w="0" w:type="dxa"/>
          </w:tblCellMar>
        </w:tblPrEx>
        <w:trPr>
          <w:trHeight w:val="400" w:hRule="atLeast"/>
        </w:trPr>
        <w:tc>
          <w:tcPr>
            <w:tcW w:w="1840" w:type="dxa"/>
            <w:vMerge w:val="continue"/>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ascii="仿宋_GB2312" w:hAnsi="宋体" w:eastAsia="仿宋_GB2312" w:cs="仿宋_GB2312"/>
                <w:sz w:val="24"/>
                <w:szCs w:val="24"/>
              </w:rPr>
            </w:pPr>
          </w:p>
        </w:tc>
        <w:tc>
          <w:tcPr>
            <w:tcW w:w="20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预算编制</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5</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hint="eastAsia" w:ascii="仿宋_GB2312" w:hAnsi="宋体" w:eastAsia="仿宋_GB2312" w:cs="仿宋_GB2312"/>
                <w:sz w:val="24"/>
                <w:szCs w:val="24"/>
              </w:rPr>
              <w:t>5</w:t>
            </w:r>
          </w:p>
        </w:tc>
        <w:tc>
          <w:tcPr>
            <w:tcW w:w="1715" w:type="dxa"/>
            <w:vMerge w:val="continue"/>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ascii="仿宋_GB2312" w:hAnsi="宋体" w:eastAsia="仿宋_GB2312" w:cs="仿宋_GB2312"/>
                <w:sz w:val="24"/>
                <w:szCs w:val="24"/>
              </w:rPr>
            </w:pPr>
          </w:p>
        </w:tc>
      </w:tr>
      <w:tr>
        <w:tblPrEx>
          <w:tblCellMar>
            <w:top w:w="0" w:type="dxa"/>
            <w:left w:w="0" w:type="dxa"/>
            <w:bottom w:w="0" w:type="dxa"/>
            <w:right w:w="0" w:type="dxa"/>
          </w:tblCellMar>
        </w:tblPrEx>
        <w:trPr>
          <w:trHeight w:val="400" w:hRule="atLeast"/>
        </w:trPr>
        <w:tc>
          <w:tcPr>
            <w:tcW w:w="1840" w:type="dxa"/>
            <w:vMerge w:val="restar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过程</w:t>
            </w:r>
          </w:p>
        </w:tc>
        <w:tc>
          <w:tcPr>
            <w:tcW w:w="20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 xml:space="preserve">预算执行 </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8</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宋体" w:eastAsia="仿宋_GB2312" w:cs="仿宋_GB2312"/>
                <w:sz w:val="24"/>
                <w:szCs w:val="24"/>
                <w:lang w:val="en-US" w:eastAsia="zh-CN"/>
              </w:rPr>
            </w:pPr>
            <w:r>
              <w:rPr>
                <w:rFonts w:hint="eastAsia" w:ascii="仿宋_GB2312" w:hAnsi="宋体" w:eastAsia="仿宋_GB2312" w:cs="仿宋_GB2312"/>
                <w:sz w:val="24"/>
                <w:szCs w:val="24"/>
              </w:rPr>
              <w:t>7.</w:t>
            </w:r>
            <w:r>
              <w:rPr>
                <w:rFonts w:hint="eastAsia" w:ascii="仿宋_GB2312" w:hAnsi="宋体" w:eastAsia="仿宋_GB2312" w:cs="仿宋_GB2312"/>
                <w:sz w:val="24"/>
                <w:szCs w:val="24"/>
                <w:lang w:val="en-US" w:eastAsia="zh-CN"/>
              </w:rPr>
              <w:t>7</w:t>
            </w:r>
          </w:p>
        </w:tc>
        <w:tc>
          <w:tcPr>
            <w:tcW w:w="1715" w:type="dxa"/>
            <w:vMerge w:val="restar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default" w:ascii="仿宋_GB2312" w:hAnsi="宋体" w:eastAsia="仿宋_GB2312" w:cs="仿宋_GB2312"/>
                <w:sz w:val="24"/>
                <w:szCs w:val="24"/>
                <w:lang w:val="en-US" w:eastAsia="zh-CN"/>
              </w:rPr>
            </w:pPr>
            <w:r>
              <w:rPr>
                <w:rFonts w:hint="eastAsia" w:ascii="仿宋_GB2312" w:hAnsi="宋体" w:eastAsia="仿宋_GB2312" w:cs="仿宋_GB2312"/>
                <w:sz w:val="24"/>
                <w:szCs w:val="24"/>
              </w:rPr>
              <w:t>1</w:t>
            </w:r>
            <w:r>
              <w:rPr>
                <w:rFonts w:hint="eastAsia" w:ascii="仿宋_GB2312" w:hAnsi="宋体" w:eastAsia="仿宋_GB2312" w:cs="仿宋_GB2312"/>
                <w:sz w:val="24"/>
                <w:szCs w:val="24"/>
                <w:lang w:val="en-US" w:eastAsia="zh-CN"/>
              </w:rPr>
              <w:t>7.3</w:t>
            </w:r>
          </w:p>
        </w:tc>
      </w:tr>
      <w:tr>
        <w:tblPrEx>
          <w:tblCellMar>
            <w:top w:w="0" w:type="dxa"/>
            <w:left w:w="0" w:type="dxa"/>
            <w:bottom w:w="0" w:type="dxa"/>
            <w:right w:w="0" w:type="dxa"/>
          </w:tblCellMar>
        </w:tblPrEx>
        <w:trPr>
          <w:trHeight w:val="400" w:hRule="atLeast"/>
        </w:trPr>
        <w:tc>
          <w:tcPr>
            <w:tcW w:w="1840" w:type="dxa"/>
            <w:vMerge w:val="continue"/>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ascii="仿宋_GB2312" w:hAnsi="宋体" w:eastAsia="仿宋_GB2312" w:cs="仿宋_GB2312"/>
                <w:sz w:val="24"/>
                <w:szCs w:val="24"/>
              </w:rPr>
            </w:pPr>
          </w:p>
        </w:tc>
        <w:tc>
          <w:tcPr>
            <w:tcW w:w="20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预算</w:t>
            </w:r>
            <w:r>
              <w:rPr>
                <w:rFonts w:ascii="仿宋_GB2312" w:hAnsi="宋体" w:eastAsia="仿宋_GB2312" w:cs="仿宋_GB2312"/>
                <w:kern w:val="0"/>
                <w:sz w:val="24"/>
                <w:szCs w:val="24"/>
              </w:rPr>
              <w:t>管理</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6</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hint="eastAsia" w:ascii="仿宋_GB2312" w:hAnsi="宋体" w:eastAsia="仿宋_GB2312" w:cs="仿宋_GB2312"/>
                <w:sz w:val="24"/>
                <w:szCs w:val="24"/>
              </w:rPr>
              <w:t>2.4</w:t>
            </w:r>
          </w:p>
        </w:tc>
        <w:tc>
          <w:tcPr>
            <w:tcW w:w="1715" w:type="dxa"/>
            <w:vMerge w:val="continue"/>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ascii="仿宋_GB2312" w:hAnsi="宋体" w:eastAsia="仿宋_GB2312" w:cs="仿宋_GB2312"/>
                <w:sz w:val="24"/>
                <w:szCs w:val="24"/>
              </w:rPr>
            </w:pPr>
          </w:p>
        </w:tc>
      </w:tr>
      <w:tr>
        <w:tblPrEx>
          <w:tblCellMar>
            <w:top w:w="0" w:type="dxa"/>
            <w:left w:w="0" w:type="dxa"/>
            <w:bottom w:w="0" w:type="dxa"/>
            <w:right w:w="0" w:type="dxa"/>
          </w:tblCellMar>
        </w:tblPrEx>
        <w:trPr>
          <w:trHeight w:val="400" w:hRule="atLeast"/>
        </w:trPr>
        <w:tc>
          <w:tcPr>
            <w:tcW w:w="1840" w:type="dxa"/>
            <w:vMerge w:val="continue"/>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ascii="仿宋_GB2312" w:hAnsi="宋体" w:eastAsia="仿宋_GB2312" w:cs="仿宋_GB2312"/>
                <w:sz w:val="24"/>
                <w:szCs w:val="24"/>
              </w:rPr>
            </w:pPr>
          </w:p>
        </w:tc>
        <w:tc>
          <w:tcPr>
            <w:tcW w:w="20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资产管理</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8</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hint="eastAsia" w:ascii="仿宋_GB2312" w:hAnsi="宋体" w:eastAsia="仿宋_GB2312" w:cs="仿宋_GB2312"/>
                <w:sz w:val="24"/>
                <w:szCs w:val="24"/>
              </w:rPr>
              <w:t>7.2</w:t>
            </w:r>
          </w:p>
        </w:tc>
        <w:tc>
          <w:tcPr>
            <w:tcW w:w="1715" w:type="dxa"/>
            <w:vMerge w:val="continue"/>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ascii="仿宋_GB2312" w:hAnsi="宋体" w:eastAsia="仿宋_GB2312" w:cs="仿宋_GB2312"/>
                <w:sz w:val="24"/>
                <w:szCs w:val="24"/>
              </w:rPr>
            </w:pPr>
          </w:p>
        </w:tc>
      </w:tr>
      <w:tr>
        <w:tblPrEx>
          <w:tblCellMar>
            <w:top w:w="0" w:type="dxa"/>
            <w:left w:w="0" w:type="dxa"/>
            <w:bottom w:w="0" w:type="dxa"/>
            <w:right w:w="0" w:type="dxa"/>
          </w:tblCellMar>
        </w:tblPrEx>
        <w:trPr>
          <w:trHeight w:val="400" w:hRule="atLeast"/>
        </w:trPr>
        <w:tc>
          <w:tcPr>
            <w:tcW w:w="18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产出</w:t>
            </w:r>
          </w:p>
        </w:tc>
        <w:tc>
          <w:tcPr>
            <w:tcW w:w="20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职责履行</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18</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hint="eastAsia" w:ascii="仿宋_GB2312" w:hAnsi="宋体" w:eastAsia="仿宋_GB2312" w:cs="仿宋_GB2312"/>
                <w:sz w:val="24"/>
                <w:szCs w:val="24"/>
              </w:rPr>
              <w:t>16.5</w:t>
            </w:r>
          </w:p>
        </w:tc>
        <w:tc>
          <w:tcPr>
            <w:tcW w:w="171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hint="eastAsia" w:ascii="仿宋_GB2312" w:hAnsi="宋体" w:eastAsia="仿宋_GB2312" w:cs="仿宋_GB2312"/>
                <w:sz w:val="24"/>
                <w:szCs w:val="24"/>
              </w:rPr>
              <w:t>16.5</w:t>
            </w:r>
          </w:p>
        </w:tc>
      </w:tr>
      <w:tr>
        <w:tblPrEx>
          <w:tblCellMar>
            <w:top w:w="0" w:type="dxa"/>
            <w:left w:w="0" w:type="dxa"/>
            <w:bottom w:w="0" w:type="dxa"/>
            <w:right w:w="0" w:type="dxa"/>
          </w:tblCellMar>
        </w:tblPrEx>
        <w:trPr>
          <w:trHeight w:val="400" w:hRule="atLeast"/>
        </w:trPr>
        <w:tc>
          <w:tcPr>
            <w:tcW w:w="1840" w:type="dxa"/>
            <w:vMerge w:val="restar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效果</w:t>
            </w:r>
          </w:p>
        </w:tc>
        <w:tc>
          <w:tcPr>
            <w:tcW w:w="20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履职效益</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40</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hint="eastAsia" w:ascii="仿宋_GB2312" w:hAnsi="宋体" w:eastAsia="仿宋_GB2312" w:cs="仿宋_GB2312"/>
                <w:sz w:val="24"/>
                <w:szCs w:val="24"/>
              </w:rPr>
              <w:t>37.3</w:t>
            </w:r>
          </w:p>
        </w:tc>
        <w:tc>
          <w:tcPr>
            <w:tcW w:w="1715" w:type="dxa"/>
            <w:vMerge w:val="restar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hint="eastAsia" w:ascii="仿宋_GB2312" w:hAnsi="宋体" w:eastAsia="仿宋_GB2312" w:cs="仿宋_GB2312"/>
                <w:sz w:val="24"/>
                <w:szCs w:val="24"/>
              </w:rPr>
              <w:t>45.7</w:t>
            </w:r>
          </w:p>
        </w:tc>
      </w:tr>
      <w:tr>
        <w:tblPrEx>
          <w:tblCellMar>
            <w:top w:w="0" w:type="dxa"/>
            <w:left w:w="0" w:type="dxa"/>
            <w:bottom w:w="0" w:type="dxa"/>
            <w:right w:w="0" w:type="dxa"/>
          </w:tblCellMar>
        </w:tblPrEx>
        <w:trPr>
          <w:trHeight w:val="400" w:hRule="atLeast"/>
        </w:trPr>
        <w:tc>
          <w:tcPr>
            <w:tcW w:w="1840" w:type="dxa"/>
            <w:vMerge w:val="continue"/>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ascii="仿宋_GB2312" w:hAnsi="宋体" w:eastAsia="仿宋_GB2312" w:cs="仿宋_GB2312"/>
                <w:sz w:val="24"/>
                <w:szCs w:val="24"/>
              </w:rPr>
            </w:pPr>
          </w:p>
        </w:tc>
        <w:tc>
          <w:tcPr>
            <w:tcW w:w="20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满意度</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10</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hint="eastAsia" w:ascii="仿宋_GB2312" w:hAnsi="宋体" w:eastAsia="仿宋_GB2312" w:cs="仿宋_GB2312"/>
                <w:sz w:val="24"/>
                <w:szCs w:val="24"/>
              </w:rPr>
              <w:t>8.4</w:t>
            </w:r>
          </w:p>
        </w:tc>
        <w:tc>
          <w:tcPr>
            <w:tcW w:w="1715" w:type="dxa"/>
            <w:vMerge w:val="continue"/>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ascii="仿宋_GB2312" w:hAnsi="宋体" w:eastAsia="仿宋_GB2312" w:cs="仿宋_GB2312"/>
                <w:sz w:val="24"/>
                <w:szCs w:val="24"/>
              </w:rPr>
            </w:pPr>
          </w:p>
        </w:tc>
      </w:tr>
      <w:tr>
        <w:tblPrEx>
          <w:tblCellMar>
            <w:top w:w="0" w:type="dxa"/>
            <w:left w:w="0" w:type="dxa"/>
            <w:bottom w:w="0" w:type="dxa"/>
            <w:right w:w="0" w:type="dxa"/>
          </w:tblCellMar>
        </w:tblPrEx>
        <w:trPr>
          <w:trHeight w:val="400" w:hRule="atLeast"/>
        </w:trPr>
        <w:tc>
          <w:tcPr>
            <w:tcW w:w="18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sz w:val="24"/>
                <w:szCs w:val="24"/>
              </w:rPr>
            </w:pPr>
            <w:r>
              <w:rPr>
                <w:rFonts w:ascii="仿宋_GB2312" w:hAnsi="宋体" w:eastAsia="仿宋_GB2312" w:cs="仿宋_GB2312"/>
                <w:kern w:val="0"/>
                <w:sz w:val="24"/>
                <w:szCs w:val="24"/>
              </w:rPr>
              <w:t>合计</w:t>
            </w:r>
          </w:p>
        </w:tc>
        <w:tc>
          <w:tcPr>
            <w:tcW w:w="204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ascii="仿宋_GB2312" w:hAnsi="宋体" w:eastAsia="仿宋_GB2312" w:cs="仿宋_GB2312"/>
                <w:sz w:val="24"/>
                <w:szCs w:val="24"/>
              </w:rPr>
            </w:pP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100</w:t>
            </w:r>
          </w:p>
        </w:tc>
        <w:tc>
          <w:tcPr>
            <w:tcW w:w="1364"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宋体" w:eastAsia="仿宋_GB2312" w:cs="仿宋_GB2312"/>
                <w:sz w:val="24"/>
                <w:szCs w:val="24"/>
                <w:lang w:val="en-US" w:eastAsia="zh-CN"/>
              </w:rPr>
            </w:pPr>
            <w:r>
              <w:rPr>
                <w:rFonts w:hint="eastAsia" w:ascii="仿宋_GB2312" w:hAnsi="宋体" w:eastAsia="仿宋_GB2312" w:cs="仿宋_GB2312"/>
                <w:sz w:val="24"/>
                <w:szCs w:val="24"/>
              </w:rPr>
              <w:t>88.</w:t>
            </w:r>
            <w:r>
              <w:rPr>
                <w:rFonts w:hint="eastAsia" w:ascii="仿宋_GB2312" w:hAnsi="宋体" w:eastAsia="仿宋_GB2312" w:cs="仿宋_GB2312"/>
                <w:sz w:val="24"/>
                <w:szCs w:val="24"/>
                <w:lang w:val="en-US" w:eastAsia="zh-CN"/>
              </w:rPr>
              <w:t>9</w:t>
            </w:r>
          </w:p>
        </w:tc>
        <w:tc>
          <w:tcPr>
            <w:tcW w:w="1715"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仿宋_GB2312" w:hAnsi="宋体" w:eastAsia="仿宋_GB2312" w:cs="仿宋_GB2312"/>
                <w:sz w:val="24"/>
                <w:szCs w:val="24"/>
                <w:lang w:val="en-US" w:eastAsia="zh-CN"/>
              </w:rPr>
            </w:pPr>
            <w:r>
              <w:rPr>
                <w:rFonts w:hint="eastAsia" w:ascii="仿宋_GB2312" w:hAnsi="宋体" w:eastAsia="仿宋_GB2312" w:cs="仿宋_GB2312"/>
                <w:sz w:val="24"/>
                <w:szCs w:val="24"/>
              </w:rPr>
              <w:t>88.</w:t>
            </w:r>
            <w:r>
              <w:rPr>
                <w:rFonts w:hint="eastAsia" w:ascii="仿宋_GB2312" w:hAnsi="宋体" w:eastAsia="仿宋_GB2312" w:cs="仿宋_GB2312"/>
                <w:sz w:val="24"/>
                <w:szCs w:val="24"/>
                <w:lang w:val="en-US" w:eastAsia="zh-CN"/>
              </w:rPr>
              <w:t>9</w:t>
            </w:r>
          </w:p>
        </w:tc>
      </w:tr>
    </w:tbl>
    <w:p>
      <w:pPr>
        <w:pStyle w:val="4"/>
        <w:ind w:firstLine="0" w:firstLineChars="0"/>
        <w:rPr>
          <w:lang w:val="en-US"/>
        </w:rPr>
      </w:pPr>
    </w:p>
    <w:p>
      <w:pPr>
        <w:pStyle w:val="3"/>
        <w:numPr>
          <w:ilvl w:val="0"/>
          <w:numId w:val="0"/>
        </w:numPr>
        <w:adjustRightInd w:val="0"/>
        <w:snapToGrid w:val="0"/>
        <w:spacing w:line="580" w:lineRule="exact"/>
        <w:ind w:left="640"/>
        <w:rPr>
          <w:rFonts w:eastAsia="楷体_GB2312"/>
          <w:kern w:val="0"/>
          <w:szCs w:val="32"/>
          <w:lang w:val="en-US"/>
        </w:rPr>
      </w:pPr>
      <w:r>
        <w:rPr>
          <w:rFonts w:hint="eastAsia" w:eastAsia="楷体_GB2312"/>
          <w:kern w:val="0"/>
          <w:szCs w:val="32"/>
          <w:lang w:val="en-US"/>
        </w:rPr>
        <w:t>（二）绩效分析</w:t>
      </w:r>
    </w:p>
    <w:p>
      <w:pPr>
        <w:widowControl/>
        <w:tabs>
          <w:tab w:val="left" w:pos="2740"/>
        </w:tabs>
        <w:adjustRightInd w:val="0"/>
        <w:snapToGrid w:val="0"/>
        <w:spacing w:line="580" w:lineRule="exact"/>
        <w:ind w:firstLine="624" w:firstLineChars="200"/>
        <w:jc w:val="left"/>
        <w:outlineLvl w:val="0"/>
        <w:rPr>
          <w:rFonts w:ascii="楷体_GB2312" w:hAnsi="楷体_GB2312" w:eastAsia="楷体_GB2312" w:cs="楷体_GB2312"/>
          <w:bCs/>
          <w:sz w:val="32"/>
          <w:szCs w:val="32"/>
        </w:rPr>
      </w:pPr>
      <w:bookmarkStart w:id="90" w:name="_Toc192"/>
      <w:r>
        <w:rPr>
          <w:rFonts w:hint="eastAsia" w:ascii="仿宋_GB2312" w:hAnsi="仿宋_GB2312" w:eastAsia="仿宋_GB2312" w:cs="仿宋_GB2312"/>
          <w:spacing w:val="-4"/>
          <w:sz w:val="32"/>
          <w:szCs w:val="32"/>
        </w:rPr>
        <w:t>1、</w:t>
      </w:r>
      <w:r>
        <w:rPr>
          <w:rFonts w:hint="eastAsia" w:ascii="楷体_GB2312" w:hAnsi="楷体_GB2312" w:eastAsia="楷体_GB2312" w:cs="楷体_GB2312"/>
          <w:bCs/>
          <w:sz w:val="32"/>
          <w:szCs w:val="32"/>
        </w:rPr>
        <w:t>项目决策情况分析</w:t>
      </w:r>
      <w:bookmarkEnd w:id="90"/>
    </w:p>
    <w:p>
      <w:pPr>
        <w:widowControl/>
        <w:tabs>
          <w:tab w:val="left" w:pos="2740"/>
        </w:tabs>
        <w:adjustRightInd w:val="0"/>
        <w:snapToGrid w:val="0"/>
        <w:spacing w:line="580" w:lineRule="exact"/>
        <w:ind w:firstLine="640" w:firstLineChars="200"/>
        <w:outlineLvl w:val="0"/>
        <w:rPr>
          <w:rFonts w:ascii="仿宋_GB2312" w:hAnsi="仿宋_GB2312" w:eastAsia="仿宋_GB2312" w:cs="仿宋_GB2312"/>
          <w:bCs/>
          <w:kern w:val="0"/>
          <w:sz w:val="32"/>
          <w:szCs w:val="32"/>
        </w:rPr>
      </w:pPr>
      <w:bookmarkStart w:id="91" w:name="_Toc20698"/>
      <w:bookmarkStart w:id="92" w:name="_Toc24940"/>
      <w:bookmarkStart w:id="93" w:name="_Toc1654"/>
      <w:r>
        <w:rPr>
          <w:rFonts w:hint="eastAsia" w:ascii="仿宋_GB2312" w:hAnsi="仿宋_GB2312" w:eastAsia="仿宋_GB2312" w:cs="仿宋_GB2312"/>
          <w:bCs/>
          <w:kern w:val="0"/>
          <w:sz w:val="32"/>
          <w:szCs w:val="32"/>
        </w:rPr>
        <w:t>决策方面指标分值10分，评价得分9.4分，得分率94%。从绩效目标设定和预算配置两方面进行评价，指标得分情况如下表：</w:t>
      </w:r>
    </w:p>
    <w:p>
      <w:pPr>
        <w:pStyle w:val="6"/>
        <w:numPr>
          <w:ilvl w:val="0"/>
          <w:numId w:val="0"/>
        </w:numPr>
        <w:ind w:left="200"/>
        <w:jc w:val="center"/>
        <w:rPr>
          <w:b w:val="0"/>
          <w:bCs w:val="0"/>
        </w:rPr>
      </w:pPr>
      <w:r>
        <w:rPr>
          <w:rFonts w:hint="eastAsia" w:ascii="仿宋_GB2312" w:hAnsi="仿宋_GB2312" w:cs="仿宋_GB2312"/>
          <w:b w:val="0"/>
          <w:bCs w:val="0"/>
          <w:sz w:val="32"/>
          <w:lang w:val="en-US"/>
        </w:rPr>
        <w:t>表4-1决策指标得分情况</w:t>
      </w:r>
    </w:p>
    <w:tbl>
      <w:tblPr>
        <w:tblStyle w:val="22"/>
        <w:tblW w:w="0" w:type="auto"/>
        <w:tblInd w:w="0" w:type="dxa"/>
        <w:tblLayout w:type="fixed"/>
        <w:tblCellMar>
          <w:top w:w="0" w:type="dxa"/>
          <w:left w:w="108" w:type="dxa"/>
          <w:bottom w:w="0" w:type="dxa"/>
          <w:right w:w="108" w:type="dxa"/>
        </w:tblCellMar>
      </w:tblPr>
      <w:tblGrid>
        <w:gridCol w:w="1117"/>
        <w:gridCol w:w="1789"/>
        <w:gridCol w:w="666"/>
        <w:gridCol w:w="1330"/>
        <w:gridCol w:w="2110"/>
        <w:gridCol w:w="650"/>
        <w:gridCol w:w="860"/>
      </w:tblGrid>
      <w:tr>
        <w:tblPrEx>
          <w:tblCellMar>
            <w:top w:w="0" w:type="dxa"/>
            <w:left w:w="108" w:type="dxa"/>
            <w:bottom w:w="0" w:type="dxa"/>
            <w:right w:w="108" w:type="dxa"/>
          </w:tblCellMar>
        </w:tblPrEx>
        <w:trPr>
          <w:trHeight w:val="639" w:hRule="atLeast"/>
        </w:trPr>
        <w:tc>
          <w:tcPr>
            <w:tcW w:w="11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二级指标</w:t>
            </w:r>
          </w:p>
        </w:tc>
        <w:tc>
          <w:tcPr>
            <w:tcW w:w="178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末级指标</w:t>
            </w:r>
          </w:p>
        </w:tc>
        <w:tc>
          <w:tcPr>
            <w:tcW w:w="66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分值</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标杆值</w:t>
            </w: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rPr>
            </w:pPr>
            <w:r>
              <w:rPr>
                <w:rFonts w:hint="eastAsia" w:ascii="仿宋" w:hAnsi="仿宋" w:eastAsia="仿宋" w:cs="仿宋"/>
                <w:kern w:val="0"/>
              </w:rPr>
              <w:t>指标值</w:t>
            </w:r>
          </w:p>
        </w:tc>
        <w:tc>
          <w:tcPr>
            <w:tcW w:w="65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得分</w:t>
            </w:r>
          </w:p>
        </w:tc>
        <w:tc>
          <w:tcPr>
            <w:tcW w:w="8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得分率</w:t>
            </w:r>
          </w:p>
        </w:tc>
      </w:tr>
      <w:tr>
        <w:tblPrEx>
          <w:tblCellMar>
            <w:top w:w="0" w:type="dxa"/>
            <w:left w:w="108" w:type="dxa"/>
            <w:bottom w:w="0" w:type="dxa"/>
            <w:right w:w="108" w:type="dxa"/>
          </w:tblCellMar>
        </w:tblPrEx>
        <w:trPr>
          <w:trHeight w:val="603" w:hRule="atLeast"/>
        </w:trPr>
        <w:tc>
          <w:tcPr>
            <w:tcW w:w="1117" w:type="dxa"/>
            <w:vMerge w:val="restart"/>
            <w:tcBorders>
              <w:top w:val="single" w:color="000000" w:sz="4" w:space="0"/>
              <w:left w:val="single" w:color="000000" w:sz="4" w:space="0"/>
              <w:right w:val="single" w:color="000000" w:sz="4" w:space="0"/>
            </w:tcBorders>
            <w:noWrap/>
            <w:vAlign w:val="center"/>
          </w:tcPr>
          <w:p>
            <w:pPr>
              <w:widowControl/>
              <w:jc w:val="left"/>
              <w:textAlignment w:val="center"/>
              <w:rPr>
                <w:rFonts w:ascii="仿宋" w:hAnsi="仿宋" w:eastAsia="仿宋" w:cs="仿宋"/>
                <w:kern w:val="0"/>
              </w:rPr>
            </w:pPr>
            <w:r>
              <w:rPr>
                <w:rFonts w:hint="eastAsia" w:ascii="仿宋" w:hAnsi="仿宋" w:eastAsia="仿宋" w:cs="仿宋"/>
                <w:kern w:val="0"/>
              </w:rPr>
              <w:t>目标设定</w:t>
            </w:r>
          </w:p>
        </w:tc>
        <w:tc>
          <w:tcPr>
            <w:tcW w:w="1789"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仿宋" w:hAnsi="仿宋" w:eastAsia="仿宋" w:cs="仿宋"/>
              </w:rPr>
            </w:pPr>
            <w:r>
              <w:rPr>
                <w:rFonts w:hint="eastAsia" w:ascii="仿宋" w:hAnsi="仿宋" w:eastAsia="仿宋" w:cs="仿宋"/>
                <w:kern w:val="0"/>
              </w:rPr>
              <w:t>绩效目标依据的充分性</w:t>
            </w:r>
          </w:p>
        </w:tc>
        <w:tc>
          <w:tcPr>
            <w:tcW w:w="66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充分且相关</w:t>
            </w: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kern w:val="0"/>
              </w:rPr>
            </w:pPr>
            <w:r>
              <w:rPr>
                <w:rFonts w:hint="eastAsia" w:ascii="仿宋" w:hAnsi="仿宋" w:eastAsia="仿宋" w:cs="仿宋"/>
                <w:kern w:val="0"/>
              </w:rPr>
              <w:t>充分且相关</w:t>
            </w:r>
          </w:p>
        </w:tc>
        <w:tc>
          <w:tcPr>
            <w:tcW w:w="65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2</w:t>
            </w:r>
          </w:p>
        </w:tc>
        <w:tc>
          <w:tcPr>
            <w:tcW w:w="8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100%</w:t>
            </w:r>
          </w:p>
        </w:tc>
      </w:tr>
      <w:tr>
        <w:tblPrEx>
          <w:tblCellMar>
            <w:top w:w="0" w:type="dxa"/>
            <w:left w:w="108" w:type="dxa"/>
            <w:bottom w:w="0" w:type="dxa"/>
            <w:right w:w="108" w:type="dxa"/>
          </w:tblCellMar>
        </w:tblPrEx>
        <w:trPr>
          <w:trHeight w:val="496" w:hRule="atLeast"/>
        </w:trPr>
        <w:tc>
          <w:tcPr>
            <w:tcW w:w="1117" w:type="dxa"/>
            <w:vMerge w:val="continue"/>
            <w:tcBorders>
              <w:left w:val="single" w:color="000000" w:sz="4" w:space="0"/>
              <w:right w:val="single" w:color="000000" w:sz="4" w:space="0"/>
            </w:tcBorders>
            <w:noWrap/>
            <w:vAlign w:val="center"/>
          </w:tcPr>
          <w:p>
            <w:pPr>
              <w:widowControl/>
              <w:jc w:val="left"/>
              <w:textAlignment w:val="center"/>
              <w:rPr>
                <w:rFonts w:ascii="仿宋" w:hAnsi="仿宋" w:eastAsia="仿宋" w:cs="仿宋"/>
                <w:kern w:val="0"/>
              </w:rPr>
            </w:pPr>
          </w:p>
        </w:tc>
        <w:tc>
          <w:tcPr>
            <w:tcW w:w="1789"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仿宋" w:hAnsi="仿宋" w:eastAsia="仿宋" w:cs="仿宋"/>
              </w:rPr>
            </w:pPr>
            <w:r>
              <w:rPr>
                <w:rFonts w:hint="eastAsia" w:ascii="仿宋" w:hAnsi="仿宋" w:eastAsia="仿宋" w:cs="仿宋"/>
                <w:kern w:val="0"/>
              </w:rPr>
              <w:t>绩效目标的可行性</w:t>
            </w:r>
          </w:p>
        </w:tc>
        <w:tc>
          <w:tcPr>
            <w:tcW w:w="66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1</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可行</w:t>
            </w: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kern w:val="0"/>
              </w:rPr>
            </w:pPr>
            <w:r>
              <w:rPr>
                <w:rFonts w:hint="eastAsia" w:ascii="仿宋" w:hAnsi="仿宋" w:eastAsia="仿宋" w:cs="仿宋"/>
                <w:kern w:val="0"/>
              </w:rPr>
              <w:t>可行</w:t>
            </w:r>
          </w:p>
        </w:tc>
        <w:tc>
          <w:tcPr>
            <w:tcW w:w="65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1</w:t>
            </w:r>
          </w:p>
        </w:tc>
        <w:tc>
          <w:tcPr>
            <w:tcW w:w="8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100%</w:t>
            </w:r>
          </w:p>
        </w:tc>
      </w:tr>
      <w:tr>
        <w:tblPrEx>
          <w:tblCellMar>
            <w:top w:w="0" w:type="dxa"/>
            <w:left w:w="108" w:type="dxa"/>
            <w:bottom w:w="0" w:type="dxa"/>
            <w:right w:w="108" w:type="dxa"/>
          </w:tblCellMar>
        </w:tblPrEx>
        <w:trPr>
          <w:trHeight w:val="639" w:hRule="atLeast"/>
        </w:trPr>
        <w:tc>
          <w:tcPr>
            <w:tcW w:w="1117" w:type="dxa"/>
            <w:vMerge w:val="continue"/>
            <w:tcBorders>
              <w:left w:val="single" w:color="000000" w:sz="4" w:space="0"/>
              <w:bottom w:val="single" w:color="000000" w:sz="4" w:space="0"/>
              <w:right w:val="single" w:color="000000" w:sz="4" w:space="0"/>
            </w:tcBorders>
            <w:noWrap/>
            <w:vAlign w:val="center"/>
          </w:tcPr>
          <w:p>
            <w:pPr>
              <w:widowControl/>
              <w:jc w:val="left"/>
              <w:textAlignment w:val="center"/>
              <w:rPr>
                <w:rFonts w:ascii="仿宋" w:hAnsi="仿宋" w:eastAsia="仿宋" w:cs="仿宋"/>
                <w:kern w:val="0"/>
              </w:rPr>
            </w:pPr>
          </w:p>
        </w:tc>
        <w:tc>
          <w:tcPr>
            <w:tcW w:w="1789"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仿宋" w:hAnsi="仿宋" w:eastAsia="仿宋" w:cs="仿宋"/>
              </w:rPr>
            </w:pPr>
            <w:r>
              <w:rPr>
                <w:rFonts w:hint="eastAsia" w:ascii="仿宋" w:hAnsi="仿宋" w:eastAsia="仿宋" w:cs="仿宋"/>
                <w:kern w:val="0"/>
              </w:rPr>
              <w:t>绩效指标的可衡量性</w:t>
            </w:r>
          </w:p>
        </w:tc>
        <w:tc>
          <w:tcPr>
            <w:tcW w:w="66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明确且合理</w:t>
            </w: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kern w:val="0"/>
              </w:rPr>
            </w:pPr>
            <w:r>
              <w:rPr>
                <w:rFonts w:hint="eastAsia" w:ascii="仿宋" w:hAnsi="仿宋" w:eastAsia="仿宋" w:cs="仿宋"/>
                <w:kern w:val="0"/>
              </w:rPr>
              <w:t>指标偏离</w:t>
            </w:r>
          </w:p>
        </w:tc>
        <w:tc>
          <w:tcPr>
            <w:tcW w:w="65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1.4</w:t>
            </w:r>
          </w:p>
        </w:tc>
        <w:tc>
          <w:tcPr>
            <w:tcW w:w="8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70%</w:t>
            </w:r>
          </w:p>
        </w:tc>
      </w:tr>
      <w:tr>
        <w:tblPrEx>
          <w:tblCellMar>
            <w:top w:w="0" w:type="dxa"/>
            <w:left w:w="108" w:type="dxa"/>
            <w:bottom w:w="0" w:type="dxa"/>
            <w:right w:w="108" w:type="dxa"/>
          </w:tblCellMar>
        </w:tblPrEx>
        <w:trPr>
          <w:trHeight w:val="639" w:hRule="atLeast"/>
        </w:trPr>
        <w:tc>
          <w:tcPr>
            <w:tcW w:w="1117" w:type="dxa"/>
            <w:vMerge w:val="restart"/>
            <w:tcBorders>
              <w:top w:val="single" w:color="000000" w:sz="4" w:space="0"/>
              <w:left w:val="single" w:color="000000" w:sz="4" w:space="0"/>
              <w:right w:val="single" w:color="000000" w:sz="4" w:space="0"/>
            </w:tcBorders>
            <w:noWrap/>
            <w:vAlign w:val="center"/>
          </w:tcPr>
          <w:p>
            <w:pPr>
              <w:widowControl/>
              <w:jc w:val="left"/>
              <w:textAlignment w:val="center"/>
              <w:rPr>
                <w:rFonts w:ascii="仿宋" w:hAnsi="仿宋" w:eastAsia="仿宋" w:cs="仿宋"/>
                <w:kern w:val="0"/>
              </w:rPr>
            </w:pPr>
            <w:r>
              <w:rPr>
                <w:rFonts w:hint="eastAsia" w:ascii="仿宋" w:hAnsi="仿宋" w:eastAsia="仿宋" w:cs="仿宋"/>
                <w:kern w:val="0"/>
              </w:rPr>
              <w:t xml:space="preserve">预算配置 </w:t>
            </w:r>
          </w:p>
        </w:tc>
        <w:tc>
          <w:tcPr>
            <w:tcW w:w="1789"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仿宋" w:hAnsi="仿宋" w:eastAsia="仿宋" w:cs="仿宋"/>
              </w:rPr>
            </w:pPr>
            <w:r>
              <w:rPr>
                <w:rFonts w:hint="eastAsia" w:ascii="仿宋" w:hAnsi="仿宋" w:eastAsia="仿宋" w:cs="仿宋"/>
                <w:kern w:val="0"/>
              </w:rPr>
              <w:t>在职人员控制率</w:t>
            </w:r>
          </w:p>
        </w:tc>
        <w:tc>
          <w:tcPr>
            <w:tcW w:w="66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1</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100%</w:t>
            </w: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kern w:val="0"/>
              </w:rPr>
            </w:pPr>
            <w:r>
              <w:rPr>
                <w:rFonts w:hint="eastAsia" w:ascii="仿宋" w:hAnsi="仿宋" w:eastAsia="仿宋" w:cs="仿宋"/>
                <w:kern w:val="0"/>
              </w:rPr>
              <w:t>83.24%</w:t>
            </w:r>
          </w:p>
        </w:tc>
        <w:tc>
          <w:tcPr>
            <w:tcW w:w="65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1</w:t>
            </w:r>
          </w:p>
        </w:tc>
        <w:tc>
          <w:tcPr>
            <w:tcW w:w="8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100%</w:t>
            </w:r>
          </w:p>
        </w:tc>
      </w:tr>
      <w:tr>
        <w:tblPrEx>
          <w:tblCellMar>
            <w:top w:w="0" w:type="dxa"/>
            <w:left w:w="108" w:type="dxa"/>
            <w:bottom w:w="0" w:type="dxa"/>
            <w:right w:w="108" w:type="dxa"/>
          </w:tblCellMar>
        </w:tblPrEx>
        <w:trPr>
          <w:trHeight w:val="772" w:hRule="atLeast"/>
        </w:trPr>
        <w:tc>
          <w:tcPr>
            <w:tcW w:w="1117" w:type="dxa"/>
            <w:vMerge w:val="continue"/>
            <w:tcBorders>
              <w:left w:val="single" w:color="000000" w:sz="4" w:space="0"/>
              <w:right w:val="single" w:color="000000" w:sz="4" w:space="0"/>
            </w:tcBorders>
            <w:noWrap/>
            <w:vAlign w:val="center"/>
          </w:tcPr>
          <w:p>
            <w:pPr>
              <w:widowControl/>
              <w:jc w:val="left"/>
              <w:textAlignment w:val="center"/>
              <w:rPr>
                <w:rFonts w:ascii="仿宋" w:hAnsi="仿宋" w:eastAsia="仿宋" w:cs="仿宋"/>
                <w:kern w:val="0"/>
              </w:rPr>
            </w:pPr>
          </w:p>
        </w:tc>
        <w:tc>
          <w:tcPr>
            <w:tcW w:w="1789"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仿宋" w:hAnsi="仿宋" w:eastAsia="仿宋" w:cs="仿宋"/>
              </w:rPr>
            </w:pPr>
            <w:r>
              <w:rPr>
                <w:rFonts w:hint="eastAsia" w:ascii="仿宋" w:hAnsi="仿宋" w:eastAsia="仿宋" w:cs="仿宋"/>
                <w:kern w:val="0"/>
              </w:rPr>
              <w:t>“三公经费”变动控制率</w:t>
            </w:r>
          </w:p>
        </w:tc>
        <w:tc>
          <w:tcPr>
            <w:tcW w:w="66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≤0</w:t>
            </w: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kern w:val="0"/>
              </w:rPr>
            </w:pPr>
            <w:r>
              <w:rPr>
                <w:rFonts w:hint="eastAsia" w:ascii="仿宋" w:hAnsi="仿宋" w:eastAsia="仿宋" w:cs="仿宋"/>
                <w:kern w:val="0"/>
              </w:rPr>
              <w:t>-7.03%</w:t>
            </w:r>
          </w:p>
        </w:tc>
        <w:tc>
          <w:tcPr>
            <w:tcW w:w="65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2</w:t>
            </w:r>
          </w:p>
        </w:tc>
        <w:tc>
          <w:tcPr>
            <w:tcW w:w="8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100%</w:t>
            </w:r>
          </w:p>
        </w:tc>
      </w:tr>
      <w:tr>
        <w:tblPrEx>
          <w:tblCellMar>
            <w:top w:w="0" w:type="dxa"/>
            <w:left w:w="108" w:type="dxa"/>
            <w:bottom w:w="0" w:type="dxa"/>
            <w:right w:w="108" w:type="dxa"/>
          </w:tblCellMar>
        </w:tblPrEx>
        <w:trPr>
          <w:trHeight w:val="639" w:hRule="atLeast"/>
        </w:trPr>
        <w:tc>
          <w:tcPr>
            <w:tcW w:w="1117" w:type="dxa"/>
            <w:vMerge w:val="continue"/>
            <w:tcBorders>
              <w:left w:val="single" w:color="000000" w:sz="4" w:space="0"/>
              <w:bottom w:val="single" w:color="000000" w:sz="4" w:space="0"/>
              <w:right w:val="single" w:color="000000" w:sz="4" w:space="0"/>
            </w:tcBorders>
            <w:noWrap/>
            <w:vAlign w:val="center"/>
          </w:tcPr>
          <w:p>
            <w:pPr>
              <w:widowControl/>
              <w:jc w:val="left"/>
              <w:textAlignment w:val="center"/>
              <w:rPr>
                <w:rFonts w:ascii="仿宋" w:hAnsi="仿宋" w:eastAsia="仿宋" w:cs="仿宋"/>
                <w:kern w:val="0"/>
              </w:rPr>
            </w:pPr>
          </w:p>
        </w:tc>
        <w:tc>
          <w:tcPr>
            <w:tcW w:w="1789"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仿宋" w:hAnsi="仿宋" w:eastAsia="仿宋" w:cs="仿宋"/>
              </w:rPr>
            </w:pPr>
            <w:r>
              <w:rPr>
                <w:rFonts w:hint="eastAsia" w:ascii="仿宋" w:hAnsi="仿宋" w:eastAsia="仿宋" w:cs="仿宋"/>
                <w:kern w:val="0"/>
              </w:rPr>
              <w:t>重点支出安排率</w:t>
            </w:r>
          </w:p>
        </w:tc>
        <w:tc>
          <w:tcPr>
            <w:tcW w:w="66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85%</w:t>
            </w: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kern w:val="0"/>
              </w:rPr>
            </w:pPr>
            <w:r>
              <w:rPr>
                <w:rFonts w:hint="eastAsia" w:ascii="仿宋" w:hAnsi="仿宋" w:eastAsia="仿宋" w:cs="仿宋"/>
                <w:kern w:val="0"/>
              </w:rPr>
              <w:t>91.18%</w:t>
            </w:r>
          </w:p>
        </w:tc>
        <w:tc>
          <w:tcPr>
            <w:tcW w:w="65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2</w:t>
            </w:r>
          </w:p>
        </w:tc>
        <w:tc>
          <w:tcPr>
            <w:tcW w:w="8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100%</w:t>
            </w:r>
          </w:p>
        </w:tc>
      </w:tr>
      <w:tr>
        <w:tblPrEx>
          <w:tblCellMar>
            <w:top w:w="0" w:type="dxa"/>
            <w:left w:w="108" w:type="dxa"/>
            <w:bottom w:w="0" w:type="dxa"/>
            <w:right w:w="108" w:type="dxa"/>
          </w:tblCellMar>
        </w:tblPrEx>
        <w:trPr>
          <w:trHeight w:val="516" w:hRule="atLeast"/>
        </w:trPr>
        <w:tc>
          <w:tcPr>
            <w:tcW w:w="2906"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合计</w:t>
            </w:r>
          </w:p>
        </w:tc>
        <w:tc>
          <w:tcPr>
            <w:tcW w:w="66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rPr>
            </w:pPr>
          </w:p>
        </w:tc>
        <w:tc>
          <w:tcPr>
            <w:tcW w:w="21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kern w:val="0"/>
              </w:rPr>
            </w:pPr>
          </w:p>
        </w:tc>
        <w:tc>
          <w:tcPr>
            <w:tcW w:w="65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9.4</w:t>
            </w:r>
          </w:p>
        </w:tc>
        <w:tc>
          <w:tcPr>
            <w:tcW w:w="8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94%</w:t>
            </w:r>
          </w:p>
        </w:tc>
      </w:tr>
    </w:tbl>
    <w:p>
      <w:pPr>
        <w:widowControl/>
        <w:tabs>
          <w:tab w:val="left" w:pos="2740"/>
        </w:tabs>
        <w:adjustRightInd w:val="0"/>
        <w:snapToGrid w:val="0"/>
        <w:spacing w:line="580" w:lineRule="exact"/>
        <w:ind w:firstLine="640" w:firstLineChars="200"/>
        <w:outlineLvl w:val="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1、目标设定方面：分值5分，得4.4分</w:t>
      </w:r>
    </w:p>
    <w:p>
      <w:pPr>
        <w:widowControl/>
        <w:tabs>
          <w:tab w:val="left" w:pos="2740"/>
        </w:tabs>
        <w:adjustRightInd w:val="0"/>
        <w:snapToGrid w:val="0"/>
        <w:spacing w:line="580" w:lineRule="exact"/>
        <w:ind w:firstLine="640" w:firstLineChars="200"/>
        <w:outlineLvl w:val="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（1）绩效目标合理性方面，分值2分，得2分</w:t>
      </w:r>
    </w:p>
    <w:p>
      <w:pPr>
        <w:widowControl/>
        <w:tabs>
          <w:tab w:val="left" w:pos="2740"/>
        </w:tabs>
        <w:adjustRightInd w:val="0"/>
        <w:snapToGrid w:val="0"/>
        <w:spacing w:line="580" w:lineRule="exact"/>
        <w:ind w:firstLine="640" w:firstLineChars="200"/>
        <w:outlineLvl w:val="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绩效目标依据充分性方面，绩效目标的设定符合国家法律法规、国民经济和社会发展总体规划，符合部门职责，符合制定的总目标、年度目标实施规划。</w:t>
      </w:r>
    </w:p>
    <w:p>
      <w:pPr>
        <w:widowControl/>
        <w:tabs>
          <w:tab w:val="left" w:pos="2740"/>
        </w:tabs>
        <w:adjustRightInd w:val="0"/>
        <w:snapToGrid w:val="0"/>
        <w:spacing w:line="580" w:lineRule="exact"/>
        <w:ind w:firstLine="640" w:firstLineChars="200"/>
        <w:outlineLvl w:val="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绩效目标的可行性方面，部分绩效目标能做到定量表述；不能以量化形式表述的绩效目标，能清晰表述目标的具体内容。</w:t>
      </w:r>
    </w:p>
    <w:p>
      <w:pPr>
        <w:widowControl/>
        <w:numPr>
          <w:ilvl w:val="0"/>
          <w:numId w:val="5"/>
        </w:numPr>
        <w:tabs>
          <w:tab w:val="left" w:pos="2740"/>
        </w:tabs>
        <w:adjustRightInd w:val="0"/>
        <w:snapToGrid w:val="0"/>
        <w:spacing w:line="580" w:lineRule="exact"/>
        <w:ind w:firstLine="640"/>
        <w:jc w:val="left"/>
        <w:outlineLvl w:val="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绩效目标明确性方面，分值2分，得1.4分</w:t>
      </w:r>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绩效目标明确性方面，主要从依据部门整体绩效目标设定的指标可衡量性评价，包括绩效目标的细化程度、量化程度和匹配程度。</w:t>
      </w:r>
    </w:p>
    <w:p>
      <w:pPr>
        <w:widowControl/>
        <w:tabs>
          <w:tab w:val="left" w:pos="2740"/>
        </w:tabs>
        <w:adjustRightInd w:val="0"/>
        <w:snapToGrid w:val="0"/>
        <w:spacing w:line="580" w:lineRule="exact"/>
        <w:ind w:firstLine="640" w:firstLineChars="200"/>
        <w:outlineLvl w:val="0"/>
        <w:rPr>
          <w:rFonts w:ascii="仿宋_GB2312" w:hAnsi="仿宋_GB2312" w:eastAsia="仿宋" w:cs="仿宋_GB2312"/>
          <w:bCs/>
          <w:kern w:val="0"/>
          <w:sz w:val="32"/>
          <w:szCs w:val="32"/>
        </w:rPr>
      </w:pPr>
      <w:r>
        <w:rPr>
          <w:rFonts w:hint="eastAsia" w:ascii="仿宋_GB2312" w:hAnsi="仿宋_GB2312" w:eastAsia="仿宋_GB2312" w:cs="仿宋_GB2312"/>
          <w:bCs/>
          <w:kern w:val="0"/>
          <w:sz w:val="32"/>
          <w:szCs w:val="32"/>
        </w:rPr>
        <w:t>绩效目标的细化、量化程度方面，城阳区人民检察院能够将设定的部门整体绩效目标细化分解为具体的工作任务，并</w:t>
      </w:r>
      <w:r>
        <w:rPr>
          <w:rFonts w:ascii="仿宋_GB2312" w:hAnsi="仿宋_GB2312" w:eastAsia="仿宋_GB2312" w:cs="仿宋_GB2312"/>
          <w:bCs/>
          <w:kern w:val="0"/>
          <w:sz w:val="32"/>
          <w:szCs w:val="32"/>
        </w:rPr>
        <w:t>通过清晰、可衡量的</w:t>
      </w:r>
      <w:r>
        <w:rPr>
          <w:rFonts w:hint="eastAsia" w:ascii="仿宋_GB2312" w:hAnsi="仿宋_GB2312" w:eastAsia="仿宋_GB2312" w:cs="仿宋_GB2312"/>
          <w:bCs/>
          <w:kern w:val="0"/>
          <w:sz w:val="32"/>
          <w:szCs w:val="32"/>
        </w:rPr>
        <w:t>指标和指标值</w:t>
      </w:r>
      <w:r>
        <w:rPr>
          <w:rFonts w:ascii="仿宋_GB2312" w:hAnsi="仿宋_GB2312" w:eastAsia="仿宋_GB2312" w:cs="仿宋_GB2312"/>
          <w:bCs/>
          <w:kern w:val="0"/>
          <w:sz w:val="32"/>
          <w:szCs w:val="32"/>
        </w:rPr>
        <w:t>予以体现</w:t>
      </w:r>
      <w:r>
        <w:rPr>
          <w:rFonts w:hint="eastAsia" w:ascii="仿宋_GB2312" w:hAnsi="仿宋_GB2312" w:eastAsia="仿宋_GB2312" w:cs="仿宋_GB2312"/>
          <w:bCs/>
          <w:kern w:val="0"/>
          <w:sz w:val="32"/>
          <w:szCs w:val="32"/>
        </w:rPr>
        <w:t>。细化、量化程度较高。</w:t>
      </w:r>
      <w:r>
        <w:rPr>
          <w:rFonts w:ascii="仿宋_GB2312" w:hAnsi="仿宋_GB2312" w:eastAsia="仿宋_GB2312" w:cs="仿宋_GB2312"/>
          <w:bCs/>
          <w:kern w:val="0"/>
          <w:sz w:val="32"/>
          <w:szCs w:val="32"/>
        </w:rPr>
        <w:t>绩效目标的</w:t>
      </w:r>
      <w:r>
        <w:rPr>
          <w:rFonts w:hint="eastAsia" w:ascii="仿宋_GB2312" w:hAnsi="仿宋_GB2312" w:eastAsia="仿宋_GB2312" w:cs="仿宋_GB2312"/>
          <w:bCs/>
          <w:kern w:val="0"/>
          <w:sz w:val="32"/>
          <w:szCs w:val="32"/>
        </w:rPr>
        <w:t>匹配</w:t>
      </w:r>
      <w:r>
        <w:rPr>
          <w:rFonts w:ascii="仿宋_GB2312" w:hAnsi="仿宋_GB2312" w:eastAsia="仿宋_GB2312" w:cs="仿宋_GB2312"/>
          <w:bCs/>
          <w:kern w:val="0"/>
          <w:sz w:val="32"/>
          <w:szCs w:val="32"/>
        </w:rPr>
        <w:t>程度方面，</w:t>
      </w:r>
      <w:r>
        <w:rPr>
          <w:rFonts w:hint="eastAsia" w:ascii="仿宋_GB2312" w:hAnsi="仿宋_GB2312" w:eastAsia="仿宋_GB2312" w:cs="仿宋_GB2312"/>
          <w:bCs/>
          <w:kern w:val="0"/>
          <w:sz w:val="32"/>
          <w:szCs w:val="32"/>
        </w:rPr>
        <w:t>绩效指标值与部门年度任务数或计划数相对应，与本年度部门预算资金相匹配,但</w:t>
      </w:r>
      <w:r>
        <w:rPr>
          <w:rFonts w:hint="eastAsia" w:ascii="仿宋" w:hAnsi="仿宋" w:eastAsia="仿宋" w:cs="仿宋"/>
          <w:bCs/>
          <w:kern w:val="0"/>
          <w:sz w:val="32"/>
          <w:szCs w:val="32"/>
        </w:rPr>
        <w:t>部分项目绩效目标设定的指标值偏离较大，预算编制精准水平有待提高。</w:t>
      </w:r>
    </w:p>
    <w:bookmarkEnd w:id="91"/>
    <w:bookmarkEnd w:id="92"/>
    <w:bookmarkEnd w:id="93"/>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bookmarkStart w:id="94" w:name="_Toc26538"/>
      <w:r>
        <w:rPr>
          <w:rFonts w:hint="eastAsia" w:ascii="仿宋_GB2312" w:hAnsi="仿宋_GB2312" w:eastAsia="仿宋_GB2312" w:cs="仿宋_GB2312"/>
          <w:bCs/>
          <w:kern w:val="0"/>
          <w:sz w:val="32"/>
          <w:szCs w:val="32"/>
        </w:rPr>
        <w:t>2、预算配置方面：分值5分，得5分</w:t>
      </w:r>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（1）在职人员控制率，分值1分，得1分。</w:t>
      </w:r>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（2）“三公经费”变动控制率，分值2分，得2分</w:t>
      </w:r>
    </w:p>
    <w:p>
      <w:pPr>
        <w:numPr>
          <w:ilvl w:val="0"/>
          <w:numId w:val="5"/>
        </w:numPr>
        <w:adjustRightInd w:val="0"/>
        <w:snapToGrid w:val="0"/>
        <w:spacing w:line="580" w:lineRule="exact"/>
        <w:ind w:left="0" w:firstLine="640" w:firstLineChars="200"/>
        <w:rPr>
          <w:rFonts w:ascii="仿宋_GB2312" w:hAnsi="等线" w:eastAsia="仿宋_GB2312" w:cs="Times New Roman"/>
          <w:sz w:val="32"/>
          <w:szCs w:val="32"/>
        </w:rPr>
      </w:pPr>
      <w:r>
        <w:rPr>
          <w:rFonts w:hint="eastAsia" w:ascii="仿宋_GB2312" w:hAnsi="等线" w:eastAsia="仿宋_GB2312" w:cs="Times New Roman"/>
          <w:sz w:val="32"/>
          <w:szCs w:val="32"/>
        </w:rPr>
        <w:t>重点支出安排率，分值2分，得2分。</w:t>
      </w:r>
      <w:bookmarkEnd w:id="94"/>
      <w:r>
        <w:rPr>
          <w:rFonts w:ascii="仿宋_GB2312" w:hAnsi="仿宋_GB2312" w:eastAsia="仿宋_GB2312" w:cs="仿宋_GB2312"/>
          <w:bCs/>
          <w:kern w:val="0"/>
          <w:sz w:val="32"/>
          <w:szCs w:val="32"/>
        </w:rPr>
        <w:t xml:space="preserve">                                                                                                            </w:t>
      </w:r>
    </w:p>
    <w:p>
      <w:pPr>
        <w:pStyle w:val="71"/>
        <w:widowControl/>
        <w:numPr>
          <w:ilvl w:val="0"/>
          <w:numId w:val="3"/>
        </w:numPr>
        <w:tabs>
          <w:tab w:val="left" w:pos="2740"/>
        </w:tabs>
        <w:adjustRightInd w:val="0"/>
        <w:snapToGrid w:val="0"/>
        <w:spacing w:line="580" w:lineRule="exact"/>
        <w:ind w:firstLineChars="0"/>
        <w:jc w:val="left"/>
        <w:outlineLvl w:val="0"/>
        <w:rPr>
          <w:rFonts w:ascii="楷体_GB2312" w:hAnsi="楷体_GB2312" w:eastAsia="楷体_GB2312" w:cs="楷体_GB2312"/>
          <w:bCs/>
          <w:sz w:val="32"/>
          <w:szCs w:val="32"/>
        </w:rPr>
      </w:pPr>
      <w:bookmarkStart w:id="95" w:name="_Toc24415"/>
      <w:r>
        <w:rPr>
          <w:rFonts w:hint="eastAsia" w:ascii="楷体_GB2312" w:hAnsi="楷体_GB2312" w:eastAsia="楷体_GB2312" w:cs="楷体_GB2312"/>
          <w:bCs/>
          <w:sz w:val="32"/>
          <w:szCs w:val="32"/>
        </w:rPr>
        <w:t>项目过程情况分析</w:t>
      </w:r>
      <w:bookmarkEnd w:id="95"/>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bookmarkStart w:id="96" w:name="_Toc1169"/>
      <w:r>
        <w:rPr>
          <w:rFonts w:hint="eastAsia" w:ascii="仿宋_GB2312" w:hAnsi="仿宋_GB2312" w:eastAsia="仿宋_GB2312" w:cs="仿宋_GB2312"/>
          <w:bCs/>
          <w:kern w:val="0"/>
          <w:sz w:val="32"/>
          <w:szCs w:val="32"/>
        </w:rPr>
        <w:t>过程方面指标分值22分，得1</w:t>
      </w:r>
      <w:r>
        <w:rPr>
          <w:rFonts w:hint="eastAsia" w:ascii="仿宋_GB2312" w:hAnsi="仿宋_GB2312" w:eastAsia="仿宋_GB2312" w:cs="仿宋_GB2312"/>
          <w:bCs/>
          <w:kern w:val="0"/>
          <w:sz w:val="32"/>
          <w:szCs w:val="32"/>
          <w:lang w:val="en-US" w:eastAsia="zh-CN"/>
        </w:rPr>
        <w:t>7.3</w:t>
      </w:r>
      <w:r>
        <w:rPr>
          <w:rFonts w:hint="eastAsia" w:ascii="仿宋_GB2312" w:hAnsi="仿宋_GB2312" w:eastAsia="仿宋_GB2312" w:cs="仿宋_GB2312"/>
          <w:bCs/>
          <w:kern w:val="0"/>
          <w:sz w:val="32"/>
          <w:szCs w:val="32"/>
        </w:rPr>
        <w:t>分，得分率7</w:t>
      </w:r>
      <w:r>
        <w:rPr>
          <w:rFonts w:hint="eastAsia" w:ascii="仿宋_GB2312" w:hAnsi="仿宋_GB2312" w:eastAsia="仿宋_GB2312" w:cs="仿宋_GB2312"/>
          <w:bCs/>
          <w:kern w:val="0"/>
          <w:sz w:val="32"/>
          <w:szCs w:val="32"/>
          <w:lang w:val="en-US" w:eastAsia="zh-CN"/>
        </w:rPr>
        <w:t>8</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bCs/>
          <w:kern w:val="0"/>
          <w:sz w:val="32"/>
          <w:szCs w:val="32"/>
          <w:lang w:val="en-US" w:eastAsia="zh-CN"/>
        </w:rPr>
        <w:t>6</w:t>
      </w:r>
      <w:r>
        <w:rPr>
          <w:rFonts w:hint="eastAsia" w:ascii="仿宋_GB2312" w:hAnsi="仿宋_GB2312" w:eastAsia="仿宋_GB2312" w:cs="仿宋_GB2312"/>
          <w:bCs/>
          <w:kern w:val="0"/>
          <w:sz w:val="32"/>
          <w:szCs w:val="32"/>
        </w:rPr>
        <w:t>%。从预算执行、预算管理、资产管理、内控建设四方面进行评价，指标得分情况如下表：</w:t>
      </w:r>
      <w:bookmarkEnd w:id="96"/>
    </w:p>
    <w:p>
      <w:pPr>
        <w:pStyle w:val="6"/>
        <w:numPr>
          <w:ilvl w:val="2"/>
          <w:numId w:val="0"/>
        </w:numPr>
        <w:ind w:left="200"/>
        <w:jc w:val="center"/>
      </w:pPr>
      <w:r>
        <w:rPr>
          <w:rFonts w:hint="eastAsia" w:ascii="仿宋_GB2312" w:hAnsi="仿宋_GB2312" w:cs="仿宋_GB2312"/>
          <w:b w:val="0"/>
          <w:bCs w:val="0"/>
          <w:sz w:val="32"/>
          <w:lang w:val="en-US"/>
        </w:rPr>
        <w:t>表4-2过程指标得分情况</w:t>
      </w:r>
    </w:p>
    <w:tbl>
      <w:tblPr>
        <w:tblStyle w:val="22"/>
        <w:tblW w:w="0" w:type="auto"/>
        <w:tblInd w:w="0" w:type="dxa"/>
        <w:tblLayout w:type="fixed"/>
        <w:tblCellMar>
          <w:top w:w="0" w:type="dxa"/>
          <w:left w:w="108" w:type="dxa"/>
          <w:bottom w:w="0" w:type="dxa"/>
          <w:right w:w="108" w:type="dxa"/>
        </w:tblCellMar>
      </w:tblPr>
      <w:tblGrid>
        <w:gridCol w:w="809"/>
        <w:gridCol w:w="2110"/>
        <w:gridCol w:w="638"/>
        <w:gridCol w:w="1374"/>
        <w:gridCol w:w="1926"/>
        <w:gridCol w:w="762"/>
        <w:gridCol w:w="903"/>
      </w:tblGrid>
      <w:tr>
        <w:tblPrEx>
          <w:tblCellMar>
            <w:top w:w="0" w:type="dxa"/>
            <w:left w:w="108" w:type="dxa"/>
            <w:bottom w:w="0" w:type="dxa"/>
            <w:right w:w="108" w:type="dxa"/>
          </w:tblCellMar>
        </w:tblPrEx>
        <w:trPr>
          <w:trHeight w:val="482" w:hRule="atLeast"/>
        </w:trPr>
        <w:tc>
          <w:tcPr>
            <w:tcW w:w="80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二级指标</w:t>
            </w:r>
          </w:p>
        </w:tc>
        <w:tc>
          <w:tcPr>
            <w:tcW w:w="211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末级指标</w:t>
            </w:r>
          </w:p>
        </w:tc>
        <w:tc>
          <w:tcPr>
            <w:tcW w:w="63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分值</w:t>
            </w:r>
          </w:p>
        </w:tc>
        <w:tc>
          <w:tcPr>
            <w:tcW w:w="137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标杆值</w:t>
            </w:r>
          </w:p>
        </w:tc>
        <w:tc>
          <w:tcPr>
            <w:tcW w:w="19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rPr>
            </w:pPr>
            <w:r>
              <w:rPr>
                <w:rFonts w:hint="eastAsia" w:ascii="仿宋" w:hAnsi="仿宋" w:eastAsia="仿宋" w:cs="仿宋"/>
                <w:kern w:val="0"/>
              </w:rPr>
              <w:t>指标值</w:t>
            </w:r>
          </w:p>
        </w:tc>
        <w:tc>
          <w:tcPr>
            <w:tcW w:w="76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得分</w:t>
            </w:r>
          </w:p>
        </w:tc>
        <w:tc>
          <w:tcPr>
            <w:tcW w:w="90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得分率</w:t>
            </w:r>
          </w:p>
        </w:tc>
      </w:tr>
      <w:tr>
        <w:tblPrEx>
          <w:tblCellMar>
            <w:top w:w="0" w:type="dxa"/>
            <w:left w:w="108" w:type="dxa"/>
            <w:bottom w:w="0" w:type="dxa"/>
            <w:right w:w="108" w:type="dxa"/>
          </w:tblCellMar>
        </w:tblPrEx>
        <w:trPr>
          <w:trHeight w:val="482" w:hRule="atLeast"/>
        </w:trPr>
        <w:tc>
          <w:tcPr>
            <w:tcW w:w="809" w:type="dxa"/>
            <w:vMerge w:val="restart"/>
            <w:tcBorders>
              <w:top w:val="single" w:color="000000" w:sz="4" w:space="0"/>
              <w:left w:val="single" w:color="000000" w:sz="4" w:space="0"/>
              <w:right w:val="single" w:color="000000" w:sz="4" w:space="0"/>
            </w:tcBorders>
            <w:noWrap/>
            <w:vAlign w:val="center"/>
          </w:tcPr>
          <w:p>
            <w:pPr>
              <w:widowControl/>
              <w:jc w:val="left"/>
              <w:textAlignment w:val="center"/>
              <w:rPr>
                <w:rFonts w:ascii="仿宋" w:hAnsi="仿宋" w:eastAsia="仿宋" w:cs="仿宋"/>
                <w:kern w:val="0"/>
              </w:rPr>
            </w:pPr>
            <w:r>
              <w:rPr>
                <w:rFonts w:hint="eastAsia" w:ascii="仿宋" w:hAnsi="仿宋" w:eastAsia="仿宋" w:cs="仿宋"/>
                <w:kern w:val="0"/>
              </w:rPr>
              <w:t>预算执行</w:t>
            </w:r>
          </w:p>
        </w:tc>
        <w:tc>
          <w:tcPr>
            <w:tcW w:w="2110"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仿宋" w:hAnsi="仿宋" w:eastAsia="仿宋" w:cs="仿宋"/>
                <w:kern w:val="0"/>
              </w:rPr>
            </w:pPr>
            <w:r>
              <w:rPr>
                <w:rFonts w:hint="eastAsia" w:ascii="仿宋" w:hAnsi="仿宋" w:eastAsia="仿宋" w:cs="仿宋"/>
                <w:kern w:val="0"/>
              </w:rPr>
              <w:t>预算执行率</w:t>
            </w:r>
          </w:p>
        </w:tc>
        <w:tc>
          <w:tcPr>
            <w:tcW w:w="63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5</w:t>
            </w:r>
          </w:p>
        </w:tc>
        <w:tc>
          <w:tcPr>
            <w:tcW w:w="137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100%</w:t>
            </w:r>
          </w:p>
        </w:tc>
        <w:tc>
          <w:tcPr>
            <w:tcW w:w="19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kern w:val="0"/>
              </w:rPr>
            </w:pPr>
            <w:r>
              <w:rPr>
                <w:rFonts w:hint="eastAsia" w:ascii="仿宋" w:hAnsi="仿宋" w:eastAsia="仿宋" w:cs="仿宋"/>
                <w:kern w:val="0"/>
                <w:lang w:val="en-US" w:eastAsia="zh-CN"/>
              </w:rPr>
              <w:t>100</w:t>
            </w:r>
            <w:r>
              <w:rPr>
                <w:rFonts w:hint="eastAsia" w:ascii="仿宋" w:hAnsi="仿宋" w:eastAsia="仿宋" w:cs="仿宋"/>
                <w:kern w:val="0"/>
              </w:rPr>
              <w:t>%</w:t>
            </w:r>
          </w:p>
        </w:tc>
        <w:tc>
          <w:tcPr>
            <w:tcW w:w="76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default" w:ascii="仿宋" w:hAnsi="仿宋" w:eastAsia="仿宋" w:cs="仿宋"/>
                <w:kern w:val="0"/>
                <w:lang w:val="en-US" w:eastAsia="zh-CN"/>
              </w:rPr>
            </w:pPr>
            <w:r>
              <w:rPr>
                <w:rFonts w:hint="eastAsia" w:ascii="仿宋" w:hAnsi="仿宋" w:eastAsia="仿宋" w:cs="仿宋"/>
                <w:kern w:val="0"/>
                <w:lang w:val="en-US" w:eastAsia="zh-CN"/>
              </w:rPr>
              <w:t>5</w:t>
            </w:r>
          </w:p>
        </w:tc>
        <w:tc>
          <w:tcPr>
            <w:tcW w:w="90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lang w:val="en-US" w:eastAsia="zh-CN"/>
              </w:rPr>
              <w:t>100</w:t>
            </w:r>
            <w:r>
              <w:rPr>
                <w:rFonts w:hint="eastAsia" w:ascii="仿宋" w:hAnsi="仿宋" w:eastAsia="仿宋" w:cs="仿宋"/>
                <w:kern w:val="0"/>
              </w:rPr>
              <w:t>%</w:t>
            </w:r>
          </w:p>
        </w:tc>
      </w:tr>
      <w:tr>
        <w:tblPrEx>
          <w:tblCellMar>
            <w:top w:w="0" w:type="dxa"/>
            <w:left w:w="108" w:type="dxa"/>
            <w:bottom w:w="0" w:type="dxa"/>
            <w:right w:w="108" w:type="dxa"/>
          </w:tblCellMar>
        </w:tblPrEx>
        <w:trPr>
          <w:trHeight w:val="402" w:hRule="atLeast"/>
        </w:trPr>
        <w:tc>
          <w:tcPr>
            <w:tcW w:w="809" w:type="dxa"/>
            <w:vMerge w:val="continue"/>
            <w:tcBorders>
              <w:left w:val="single" w:color="000000" w:sz="4" w:space="0"/>
              <w:right w:val="single" w:color="000000" w:sz="4" w:space="0"/>
            </w:tcBorders>
            <w:noWrap/>
            <w:vAlign w:val="center"/>
          </w:tcPr>
          <w:p>
            <w:pPr>
              <w:widowControl/>
              <w:jc w:val="left"/>
              <w:textAlignment w:val="center"/>
              <w:rPr>
                <w:rFonts w:ascii="仿宋" w:hAnsi="仿宋" w:eastAsia="仿宋" w:cs="仿宋"/>
                <w:kern w:val="0"/>
              </w:rPr>
            </w:pPr>
          </w:p>
        </w:tc>
        <w:tc>
          <w:tcPr>
            <w:tcW w:w="2110"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仿宋" w:hAnsi="仿宋" w:eastAsia="仿宋" w:cs="仿宋"/>
                <w:kern w:val="0"/>
              </w:rPr>
            </w:pPr>
            <w:r>
              <w:rPr>
                <w:rFonts w:hint="eastAsia" w:ascii="仿宋" w:hAnsi="仿宋" w:eastAsia="仿宋" w:cs="仿宋"/>
                <w:kern w:val="0"/>
              </w:rPr>
              <w:t>预算调整率</w:t>
            </w:r>
          </w:p>
        </w:tc>
        <w:tc>
          <w:tcPr>
            <w:tcW w:w="63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1</w:t>
            </w:r>
          </w:p>
        </w:tc>
        <w:tc>
          <w:tcPr>
            <w:tcW w:w="137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0%</w:t>
            </w:r>
          </w:p>
        </w:tc>
        <w:tc>
          <w:tcPr>
            <w:tcW w:w="19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kern w:val="0"/>
              </w:rPr>
            </w:pPr>
            <w:r>
              <w:rPr>
                <w:rFonts w:ascii="仿宋" w:hAnsi="仿宋" w:eastAsia="仿宋" w:cs="仿宋"/>
                <w:kern w:val="0"/>
              </w:rPr>
              <w:t>4.20%</w:t>
            </w:r>
          </w:p>
        </w:tc>
        <w:tc>
          <w:tcPr>
            <w:tcW w:w="76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0.7</w:t>
            </w:r>
          </w:p>
        </w:tc>
        <w:tc>
          <w:tcPr>
            <w:tcW w:w="90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70%</w:t>
            </w:r>
          </w:p>
        </w:tc>
      </w:tr>
      <w:tr>
        <w:tblPrEx>
          <w:tblCellMar>
            <w:top w:w="0" w:type="dxa"/>
            <w:left w:w="108" w:type="dxa"/>
            <w:bottom w:w="0" w:type="dxa"/>
            <w:right w:w="108" w:type="dxa"/>
          </w:tblCellMar>
        </w:tblPrEx>
        <w:trPr>
          <w:trHeight w:val="482" w:hRule="atLeast"/>
        </w:trPr>
        <w:tc>
          <w:tcPr>
            <w:tcW w:w="809" w:type="dxa"/>
            <w:vMerge w:val="continue"/>
            <w:tcBorders>
              <w:left w:val="single" w:color="000000" w:sz="4" w:space="0"/>
              <w:bottom w:val="single" w:color="000000" w:sz="4" w:space="0"/>
              <w:right w:val="single" w:color="000000" w:sz="4" w:space="0"/>
            </w:tcBorders>
            <w:noWrap/>
            <w:vAlign w:val="center"/>
          </w:tcPr>
          <w:p>
            <w:pPr>
              <w:widowControl/>
              <w:jc w:val="left"/>
              <w:textAlignment w:val="center"/>
              <w:rPr>
                <w:rFonts w:ascii="仿宋" w:hAnsi="仿宋" w:eastAsia="仿宋" w:cs="仿宋"/>
                <w:kern w:val="0"/>
              </w:rPr>
            </w:pPr>
          </w:p>
        </w:tc>
        <w:tc>
          <w:tcPr>
            <w:tcW w:w="2110"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仿宋" w:hAnsi="仿宋" w:eastAsia="仿宋" w:cs="仿宋"/>
                <w:kern w:val="0"/>
              </w:rPr>
            </w:pPr>
            <w:r>
              <w:rPr>
                <w:rFonts w:hint="eastAsia" w:ascii="仿宋" w:hAnsi="仿宋" w:eastAsia="仿宋" w:cs="仿宋"/>
                <w:kern w:val="0"/>
              </w:rPr>
              <w:t>政府采购执行率</w:t>
            </w:r>
          </w:p>
        </w:tc>
        <w:tc>
          <w:tcPr>
            <w:tcW w:w="63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2</w:t>
            </w:r>
          </w:p>
        </w:tc>
        <w:tc>
          <w:tcPr>
            <w:tcW w:w="137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95%</w:t>
            </w:r>
          </w:p>
        </w:tc>
        <w:tc>
          <w:tcPr>
            <w:tcW w:w="19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kern w:val="0"/>
              </w:rPr>
            </w:pPr>
            <w:r>
              <w:rPr>
                <w:rFonts w:hint="eastAsia" w:ascii="仿宋" w:hAnsi="仿宋" w:eastAsia="仿宋" w:cs="仿宋"/>
                <w:kern w:val="0"/>
              </w:rPr>
              <w:t>98.72%</w:t>
            </w:r>
          </w:p>
        </w:tc>
        <w:tc>
          <w:tcPr>
            <w:tcW w:w="76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2</w:t>
            </w:r>
          </w:p>
        </w:tc>
        <w:tc>
          <w:tcPr>
            <w:tcW w:w="90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100%</w:t>
            </w:r>
          </w:p>
        </w:tc>
      </w:tr>
      <w:tr>
        <w:tblPrEx>
          <w:tblCellMar>
            <w:top w:w="0" w:type="dxa"/>
            <w:left w:w="108" w:type="dxa"/>
            <w:bottom w:w="0" w:type="dxa"/>
            <w:right w:w="108" w:type="dxa"/>
          </w:tblCellMar>
        </w:tblPrEx>
        <w:trPr>
          <w:trHeight w:val="482" w:hRule="atLeast"/>
        </w:trPr>
        <w:tc>
          <w:tcPr>
            <w:tcW w:w="809" w:type="dxa"/>
            <w:vMerge w:val="restart"/>
            <w:tcBorders>
              <w:top w:val="single" w:color="000000" w:sz="4" w:space="0"/>
              <w:left w:val="single" w:color="000000" w:sz="4" w:space="0"/>
              <w:right w:val="single" w:color="000000" w:sz="4" w:space="0"/>
            </w:tcBorders>
            <w:noWrap/>
            <w:vAlign w:val="center"/>
          </w:tcPr>
          <w:p>
            <w:pPr>
              <w:widowControl/>
              <w:jc w:val="left"/>
              <w:textAlignment w:val="center"/>
              <w:rPr>
                <w:rFonts w:ascii="仿宋" w:hAnsi="仿宋" w:eastAsia="仿宋" w:cs="仿宋"/>
                <w:kern w:val="0"/>
              </w:rPr>
            </w:pPr>
            <w:r>
              <w:rPr>
                <w:rFonts w:hint="eastAsia" w:ascii="仿宋" w:hAnsi="仿宋" w:eastAsia="仿宋" w:cs="仿宋"/>
                <w:kern w:val="0"/>
              </w:rPr>
              <w:t>预算管理</w:t>
            </w:r>
          </w:p>
        </w:tc>
        <w:tc>
          <w:tcPr>
            <w:tcW w:w="2110"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仿宋" w:hAnsi="仿宋" w:eastAsia="仿宋" w:cs="仿宋"/>
                <w:kern w:val="0"/>
              </w:rPr>
            </w:pPr>
            <w:r>
              <w:rPr>
                <w:rFonts w:hint="eastAsia" w:ascii="仿宋" w:hAnsi="仿宋" w:eastAsia="仿宋" w:cs="仿宋"/>
                <w:kern w:val="0"/>
              </w:rPr>
              <w:t>管理制度健全性</w:t>
            </w:r>
          </w:p>
        </w:tc>
        <w:tc>
          <w:tcPr>
            <w:tcW w:w="63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2</w:t>
            </w:r>
          </w:p>
        </w:tc>
        <w:tc>
          <w:tcPr>
            <w:tcW w:w="137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健全</w:t>
            </w:r>
          </w:p>
        </w:tc>
        <w:tc>
          <w:tcPr>
            <w:tcW w:w="19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kern w:val="0"/>
              </w:rPr>
            </w:pPr>
            <w:r>
              <w:rPr>
                <w:rFonts w:hint="eastAsia" w:ascii="仿宋" w:hAnsi="仿宋" w:eastAsia="仿宋" w:cs="仿宋"/>
                <w:kern w:val="0"/>
              </w:rPr>
              <w:t>比较健全</w:t>
            </w:r>
          </w:p>
        </w:tc>
        <w:tc>
          <w:tcPr>
            <w:tcW w:w="76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0.4</w:t>
            </w:r>
          </w:p>
        </w:tc>
        <w:tc>
          <w:tcPr>
            <w:tcW w:w="90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40%</w:t>
            </w:r>
          </w:p>
        </w:tc>
      </w:tr>
      <w:tr>
        <w:tblPrEx>
          <w:tblCellMar>
            <w:top w:w="0" w:type="dxa"/>
            <w:left w:w="108" w:type="dxa"/>
            <w:bottom w:w="0" w:type="dxa"/>
            <w:right w:w="108" w:type="dxa"/>
          </w:tblCellMar>
        </w:tblPrEx>
        <w:trPr>
          <w:trHeight w:val="482" w:hRule="atLeast"/>
        </w:trPr>
        <w:tc>
          <w:tcPr>
            <w:tcW w:w="809" w:type="dxa"/>
            <w:vMerge w:val="continue"/>
            <w:tcBorders>
              <w:left w:val="single" w:color="000000" w:sz="4" w:space="0"/>
              <w:right w:val="single" w:color="000000" w:sz="4" w:space="0"/>
            </w:tcBorders>
            <w:noWrap/>
          </w:tcPr>
          <w:p>
            <w:pPr>
              <w:widowControl/>
              <w:jc w:val="left"/>
              <w:textAlignment w:val="center"/>
              <w:rPr>
                <w:rFonts w:ascii="仿宋" w:hAnsi="仿宋" w:eastAsia="仿宋" w:cs="仿宋"/>
                <w:kern w:val="0"/>
              </w:rPr>
            </w:pPr>
          </w:p>
        </w:tc>
        <w:tc>
          <w:tcPr>
            <w:tcW w:w="2110"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仿宋" w:hAnsi="仿宋" w:eastAsia="仿宋" w:cs="仿宋"/>
                <w:kern w:val="0"/>
              </w:rPr>
            </w:pPr>
            <w:r>
              <w:rPr>
                <w:rFonts w:hint="eastAsia" w:ascii="仿宋" w:hAnsi="仿宋" w:eastAsia="仿宋" w:cs="仿宋"/>
                <w:kern w:val="0"/>
              </w:rPr>
              <w:t>资金使用合规性</w:t>
            </w:r>
          </w:p>
        </w:tc>
        <w:tc>
          <w:tcPr>
            <w:tcW w:w="63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2</w:t>
            </w:r>
          </w:p>
        </w:tc>
        <w:tc>
          <w:tcPr>
            <w:tcW w:w="137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合规</w:t>
            </w:r>
          </w:p>
        </w:tc>
        <w:tc>
          <w:tcPr>
            <w:tcW w:w="19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kern w:val="0"/>
              </w:rPr>
            </w:pPr>
            <w:r>
              <w:rPr>
                <w:rFonts w:hint="eastAsia" w:ascii="仿宋" w:hAnsi="仿宋" w:eastAsia="仿宋" w:cs="仿宋"/>
                <w:kern w:val="0"/>
              </w:rPr>
              <w:t>比较合规</w:t>
            </w:r>
          </w:p>
        </w:tc>
        <w:tc>
          <w:tcPr>
            <w:tcW w:w="76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1</w:t>
            </w:r>
          </w:p>
        </w:tc>
        <w:tc>
          <w:tcPr>
            <w:tcW w:w="90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50%</w:t>
            </w:r>
          </w:p>
        </w:tc>
      </w:tr>
      <w:tr>
        <w:tblPrEx>
          <w:tblCellMar>
            <w:top w:w="0" w:type="dxa"/>
            <w:left w:w="108" w:type="dxa"/>
            <w:bottom w:w="0" w:type="dxa"/>
            <w:right w:w="108" w:type="dxa"/>
          </w:tblCellMar>
        </w:tblPrEx>
        <w:trPr>
          <w:trHeight w:val="482" w:hRule="atLeast"/>
        </w:trPr>
        <w:tc>
          <w:tcPr>
            <w:tcW w:w="809" w:type="dxa"/>
            <w:vMerge w:val="continue"/>
            <w:tcBorders>
              <w:left w:val="single" w:color="000000" w:sz="4" w:space="0"/>
              <w:right w:val="single" w:color="000000" w:sz="4" w:space="0"/>
            </w:tcBorders>
            <w:noWrap/>
          </w:tcPr>
          <w:p>
            <w:pPr>
              <w:widowControl/>
              <w:jc w:val="left"/>
              <w:textAlignment w:val="center"/>
              <w:rPr>
                <w:rFonts w:ascii="仿宋" w:hAnsi="仿宋" w:eastAsia="仿宋" w:cs="仿宋"/>
                <w:kern w:val="0"/>
              </w:rPr>
            </w:pPr>
          </w:p>
        </w:tc>
        <w:tc>
          <w:tcPr>
            <w:tcW w:w="2110"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仿宋" w:hAnsi="仿宋" w:eastAsia="仿宋" w:cs="仿宋"/>
                <w:kern w:val="0"/>
              </w:rPr>
            </w:pPr>
            <w:r>
              <w:rPr>
                <w:rFonts w:hint="eastAsia" w:ascii="仿宋" w:hAnsi="仿宋" w:eastAsia="仿宋" w:cs="仿宋"/>
                <w:kern w:val="0"/>
              </w:rPr>
              <w:t>预决算信息公开性</w:t>
            </w:r>
          </w:p>
        </w:tc>
        <w:tc>
          <w:tcPr>
            <w:tcW w:w="63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1</w:t>
            </w:r>
          </w:p>
        </w:tc>
        <w:tc>
          <w:tcPr>
            <w:tcW w:w="137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及时公开</w:t>
            </w:r>
          </w:p>
        </w:tc>
        <w:tc>
          <w:tcPr>
            <w:tcW w:w="19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kern w:val="0"/>
              </w:rPr>
            </w:pPr>
            <w:r>
              <w:rPr>
                <w:rFonts w:hint="eastAsia" w:ascii="仿宋" w:hAnsi="仿宋" w:eastAsia="仿宋" w:cs="仿宋"/>
                <w:kern w:val="0"/>
              </w:rPr>
              <w:t>及时公开</w:t>
            </w:r>
          </w:p>
        </w:tc>
        <w:tc>
          <w:tcPr>
            <w:tcW w:w="76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0.5</w:t>
            </w:r>
          </w:p>
        </w:tc>
        <w:tc>
          <w:tcPr>
            <w:tcW w:w="90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50%</w:t>
            </w:r>
          </w:p>
        </w:tc>
      </w:tr>
      <w:tr>
        <w:tblPrEx>
          <w:tblCellMar>
            <w:top w:w="0" w:type="dxa"/>
            <w:left w:w="108" w:type="dxa"/>
            <w:bottom w:w="0" w:type="dxa"/>
            <w:right w:w="108" w:type="dxa"/>
          </w:tblCellMar>
        </w:tblPrEx>
        <w:trPr>
          <w:trHeight w:val="482" w:hRule="atLeast"/>
        </w:trPr>
        <w:tc>
          <w:tcPr>
            <w:tcW w:w="809" w:type="dxa"/>
            <w:vMerge w:val="continue"/>
            <w:tcBorders>
              <w:left w:val="single" w:color="000000" w:sz="4" w:space="0"/>
              <w:bottom w:val="single" w:color="000000" w:sz="4" w:space="0"/>
              <w:right w:val="single" w:color="000000" w:sz="4" w:space="0"/>
            </w:tcBorders>
            <w:noWrap/>
          </w:tcPr>
          <w:p>
            <w:pPr>
              <w:widowControl/>
              <w:jc w:val="left"/>
              <w:textAlignment w:val="center"/>
              <w:rPr>
                <w:rFonts w:ascii="仿宋" w:hAnsi="仿宋" w:eastAsia="仿宋" w:cs="仿宋"/>
                <w:kern w:val="0"/>
              </w:rPr>
            </w:pPr>
          </w:p>
        </w:tc>
        <w:tc>
          <w:tcPr>
            <w:tcW w:w="2110"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仿宋" w:hAnsi="仿宋" w:eastAsia="仿宋" w:cs="仿宋"/>
                <w:kern w:val="0"/>
              </w:rPr>
            </w:pPr>
            <w:r>
              <w:rPr>
                <w:rFonts w:hint="eastAsia" w:ascii="仿宋" w:hAnsi="仿宋" w:eastAsia="仿宋" w:cs="仿宋"/>
                <w:kern w:val="0"/>
              </w:rPr>
              <w:t>基础信息完善性</w:t>
            </w:r>
          </w:p>
        </w:tc>
        <w:tc>
          <w:tcPr>
            <w:tcW w:w="63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1</w:t>
            </w:r>
          </w:p>
        </w:tc>
        <w:tc>
          <w:tcPr>
            <w:tcW w:w="137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完善</w:t>
            </w:r>
          </w:p>
        </w:tc>
        <w:tc>
          <w:tcPr>
            <w:tcW w:w="19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kern w:val="0"/>
              </w:rPr>
            </w:pPr>
            <w:r>
              <w:rPr>
                <w:rFonts w:hint="eastAsia" w:ascii="仿宋" w:hAnsi="仿宋" w:eastAsia="仿宋" w:cs="仿宋"/>
                <w:kern w:val="0"/>
              </w:rPr>
              <w:t>完善</w:t>
            </w:r>
          </w:p>
        </w:tc>
        <w:tc>
          <w:tcPr>
            <w:tcW w:w="76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0.5</w:t>
            </w:r>
          </w:p>
        </w:tc>
        <w:tc>
          <w:tcPr>
            <w:tcW w:w="90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50%</w:t>
            </w:r>
          </w:p>
        </w:tc>
      </w:tr>
      <w:tr>
        <w:tblPrEx>
          <w:tblCellMar>
            <w:top w:w="0" w:type="dxa"/>
            <w:left w:w="108" w:type="dxa"/>
            <w:bottom w:w="0" w:type="dxa"/>
            <w:right w:w="108" w:type="dxa"/>
          </w:tblCellMar>
        </w:tblPrEx>
        <w:trPr>
          <w:trHeight w:val="482" w:hRule="atLeast"/>
        </w:trPr>
        <w:tc>
          <w:tcPr>
            <w:tcW w:w="809" w:type="dxa"/>
            <w:vMerge w:val="restart"/>
            <w:tcBorders>
              <w:top w:val="single" w:color="000000" w:sz="4" w:space="0"/>
              <w:left w:val="single" w:color="000000" w:sz="4" w:space="0"/>
              <w:right w:val="single" w:color="000000" w:sz="4" w:space="0"/>
            </w:tcBorders>
            <w:noWrap/>
            <w:vAlign w:val="center"/>
          </w:tcPr>
          <w:p>
            <w:pPr>
              <w:widowControl/>
              <w:jc w:val="left"/>
              <w:textAlignment w:val="center"/>
              <w:rPr>
                <w:rFonts w:ascii="仿宋" w:hAnsi="仿宋" w:eastAsia="仿宋" w:cs="仿宋"/>
                <w:kern w:val="0"/>
              </w:rPr>
            </w:pPr>
            <w:r>
              <w:rPr>
                <w:rFonts w:hint="eastAsia" w:ascii="仿宋" w:hAnsi="仿宋" w:eastAsia="仿宋" w:cs="仿宋"/>
                <w:kern w:val="0"/>
              </w:rPr>
              <w:t>资产管理</w:t>
            </w:r>
          </w:p>
        </w:tc>
        <w:tc>
          <w:tcPr>
            <w:tcW w:w="2110"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仿宋" w:hAnsi="仿宋" w:eastAsia="仿宋" w:cs="仿宋"/>
                <w:kern w:val="0"/>
              </w:rPr>
            </w:pPr>
            <w:r>
              <w:rPr>
                <w:rFonts w:hint="eastAsia" w:ascii="仿宋" w:hAnsi="仿宋" w:eastAsia="仿宋" w:cs="仿宋"/>
                <w:kern w:val="0"/>
              </w:rPr>
              <w:t>资产管理健全性</w:t>
            </w:r>
          </w:p>
        </w:tc>
        <w:tc>
          <w:tcPr>
            <w:tcW w:w="63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4</w:t>
            </w:r>
          </w:p>
        </w:tc>
        <w:tc>
          <w:tcPr>
            <w:tcW w:w="137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健全</w:t>
            </w:r>
          </w:p>
        </w:tc>
        <w:tc>
          <w:tcPr>
            <w:tcW w:w="19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kern w:val="0"/>
              </w:rPr>
            </w:pPr>
            <w:r>
              <w:rPr>
                <w:rFonts w:hint="eastAsia" w:ascii="仿宋" w:hAnsi="仿宋" w:eastAsia="仿宋" w:cs="仿宋"/>
                <w:kern w:val="0"/>
              </w:rPr>
              <w:t>比较健全</w:t>
            </w:r>
          </w:p>
        </w:tc>
        <w:tc>
          <w:tcPr>
            <w:tcW w:w="76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3.6</w:t>
            </w:r>
          </w:p>
        </w:tc>
        <w:tc>
          <w:tcPr>
            <w:tcW w:w="90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90%</w:t>
            </w:r>
          </w:p>
        </w:tc>
      </w:tr>
      <w:tr>
        <w:tblPrEx>
          <w:tblCellMar>
            <w:top w:w="0" w:type="dxa"/>
            <w:left w:w="108" w:type="dxa"/>
            <w:bottom w:w="0" w:type="dxa"/>
            <w:right w:w="108" w:type="dxa"/>
          </w:tblCellMar>
        </w:tblPrEx>
        <w:trPr>
          <w:trHeight w:val="482" w:hRule="atLeast"/>
        </w:trPr>
        <w:tc>
          <w:tcPr>
            <w:tcW w:w="809" w:type="dxa"/>
            <w:vMerge w:val="continue"/>
            <w:tcBorders>
              <w:left w:val="single" w:color="000000" w:sz="4" w:space="0"/>
              <w:right w:val="single" w:color="000000" w:sz="4" w:space="0"/>
            </w:tcBorders>
            <w:noWrap/>
            <w:vAlign w:val="center"/>
          </w:tcPr>
          <w:p>
            <w:pPr>
              <w:widowControl/>
              <w:jc w:val="left"/>
              <w:textAlignment w:val="center"/>
              <w:rPr>
                <w:rFonts w:ascii="仿宋" w:hAnsi="仿宋" w:eastAsia="仿宋" w:cs="仿宋"/>
                <w:kern w:val="0"/>
              </w:rPr>
            </w:pPr>
          </w:p>
        </w:tc>
        <w:tc>
          <w:tcPr>
            <w:tcW w:w="2110"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仿宋" w:hAnsi="仿宋" w:eastAsia="仿宋" w:cs="仿宋"/>
                <w:kern w:val="0"/>
              </w:rPr>
            </w:pPr>
            <w:r>
              <w:rPr>
                <w:rFonts w:hint="eastAsia" w:ascii="仿宋" w:hAnsi="仿宋" w:eastAsia="仿宋" w:cs="仿宋"/>
                <w:kern w:val="0"/>
              </w:rPr>
              <w:t>固定资产台账登记率</w:t>
            </w:r>
          </w:p>
        </w:tc>
        <w:tc>
          <w:tcPr>
            <w:tcW w:w="63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2</w:t>
            </w:r>
          </w:p>
        </w:tc>
        <w:tc>
          <w:tcPr>
            <w:tcW w:w="137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≥85%</w:t>
            </w:r>
          </w:p>
        </w:tc>
        <w:tc>
          <w:tcPr>
            <w:tcW w:w="19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kern w:val="0"/>
              </w:rPr>
            </w:pPr>
            <w:r>
              <w:rPr>
                <w:rFonts w:hint="eastAsia" w:ascii="仿宋" w:hAnsi="仿宋" w:eastAsia="仿宋" w:cs="仿宋"/>
                <w:kern w:val="0"/>
              </w:rPr>
              <w:t>96.43%</w:t>
            </w:r>
          </w:p>
        </w:tc>
        <w:tc>
          <w:tcPr>
            <w:tcW w:w="76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1.6</w:t>
            </w:r>
          </w:p>
        </w:tc>
        <w:tc>
          <w:tcPr>
            <w:tcW w:w="90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80%</w:t>
            </w:r>
          </w:p>
        </w:tc>
      </w:tr>
      <w:tr>
        <w:tblPrEx>
          <w:tblCellMar>
            <w:top w:w="0" w:type="dxa"/>
            <w:left w:w="108" w:type="dxa"/>
            <w:bottom w:w="0" w:type="dxa"/>
            <w:right w:w="108" w:type="dxa"/>
          </w:tblCellMar>
        </w:tblPrEx>
        <w:trPr>
          <w:trHeight w:val="482" w:hRule="atLeast"/>
        </w:trPr>
        <w:tc>
          <w:tcPr>
            <w:tcW w:w="809" w:type="dxa"/>
            <w:vMerge w:val="continue"/>
            <w:tcBorders>
              <w:left w:val="single" w:color="000000" w:sz="4" w:space="0"/>
              <w:bottom w:val="single" w:color="000000" w:sz="4" w:space="0"/>
              <w:right w:val="single" w:color="000000" w:sz="4" w:space="0"/>
            </w:tcBorders>
            <w:noWrap/>
            <w:vAlign w:val="center"/>
          </w:tcPr>
          <w:p>
            <w:pPr>
              <w:widowControl/>
              <w:jc w:val="left"/>
              <w:textAlignment w:val="center"/>
              <w:rPr>
                <w:rFonts w:ascii="仿宋" w:hAnsi="仿宋" w:eastAsia="仿宋" w:cs="仿宋"/>
                <w:kern w:val="0"/>
              </w:rPr>
            </w:pPr>
          </w:p>
        </w:tc>
        <w:tc>
          <w:tcPr>
            <w:tcW w:w="2110"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仿宋" w:hAnsi="仿宋" w:eastAsia="仿宋" w:cs="仿宋"/>
                <w:kern w:val="0"/>
              </w:rPr>
            </w:pPr>
            <w:r>
              <w:rPr>
                <w:rFonts w:hint="eastAsia" w:ascii="仿宋" w:hAnsi="仿宋" w:eastAsia="仿宋" w:cs="仿宋"/>
                <w:kern w:val="0"/>
              </w:rPr>
              <w:t>固定资产财务登记率</w:t>
            </w:r>
          </w:p>
        </w:tc>
        <w:tc>
          <w:tcPr>
            <w:tcW w:w="63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2</w:t>
            </w:r>
          </w:p>
        </w:tc>
        <w:tc>
          <w:tcPr>
            <w:tcW w:w="137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100%</w:t>
            </w:r>
          </w:p>
        </w:tc>
        <w:tc>
          <w:tcPr>
            <w:tcW w:w="19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kern w:val="0"/>
              </w:rPr>
            </w:pPr>
            <w:r>
              <w:rPr>
                <w:rFonts w:hint="eastAsia" w:ascii="仿宋" w:hAnsi="仿宋" w:eastAsia="仿宋" w:cs="仿宋"/>
                <w:kern w:val="0"/>
              </w:rPr>
              <w:t>1.0</w:t>
            </w:r>
          </w:p>
        </w:tc>
        <w:tc>
          <w:tcPr>
            <w:tcW w:w="76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2</w:t>
            </w:r>
          </w:p>
        </w:tc>
        <w:tc>
          <w:tcPr>
            <w:tcW w:w="90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100%</w:t>
            </w:r>
          </w:p>
        </w:tc>
      </w:tr>
      <w:tr>
        <w:tblPrEx>
          <w:tblCellMar>
            <w:top w:w="0" w:type="dxa"/>
            <w:left w:w="108" w:type="dxa"/>
            <w:bottom w:w="0" w:type="dxa"/>
            <w:right w:w="108" w:type="dxa"/>
          </w:tblCellMar>
        </w:tblPrEx>
        <w:trPr>
          <w:trHeight w:val="482" w:hRule="atLeast"/>
        </w:trPr>
        <w:tc>
          <w:tcPr>
            <w:tcW w:w="80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p>
        </w:tc>
        <w:tc>
          <w:tcPr>
            <w:tcW w:w="2110"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仿宋" w:hAnsi="仿宋" w:eastAsia="仿宋" w:cs="仿宋"/>
                <w:kern w:val="0"/>
              </w:rPr>
            </w:pPr>
            <w:r>
              <w:rPr>
                <w:rFonts w:hint="eastAsia" w:ascii="仿宋" w:hAnsi="仿宋" w:eastAsia="仿宋" w:cs="仿宋"/>
                <w:kern w:val="0"/>
              </w:rPr>
              <w:t>合计</w:t>
            </w:r>
          </w:p>
        </w:tc>
        <w:tc>
          <w:tcPr>
            <w:tcW w:w="63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22</w:t>
            </w:r>
          </w:p>
        </w:tc>
        <w:tc>
          <w:tcPr>
            <w:tcW w:w="137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p>
        </w:tc>
        <w:tc>
          <w:tcPr>
            <w:tcW w:w="19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kern w:val="0"/>
              </w:rPr>
            </w:pPr>
          </w:p>
        </w:tc>
        <w:tc>
          <w:tcPr>
            <w:tcW w:w="76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16.9</w:t>
            </w:r>
          </w:p>
        </w:tc>
        <w:tc>
          <w:tcPr>
            <w:tcW w:w="90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77%</w:t>
            </w:r>
          </w:p>
        </w:tc>
      </w:tr>
    </w:tbl>
    <w:p>
      <w:pPr>
        <w:widowControl/>
        <w:numPr>
          <w:ilvl w:val="0"/>
          <w:numId w:val="3"/>
        </w:numPr>
        <w:tabs>
          <w:tab w:val="left" w:pos="2740"/>
        </w:tabs>
        <w:adjustRightInd w:val="0"/>
        <w:snapToGrid w:val="0"/>
        <w:spacing w:line="580" w:lineRule="exact"/>
        <w:ind w:left="420" w:firstLine="640"/>
        <w:jc w:val="left"/>
        <w:outlineLvl w:val="0"/>
        <w:rPr>
          <w:rFonts w:ascii="楷体_GB2312" w:hAnsi="楷体_GB2312" w:eastAsia="楷体_GB2312" w:cs="楷体_GB2312"/>
          <w:bCs/>
          <w:sz w:val="32"/>
          <w:szCs w:val="32"/>
        </w:rPr>
      </w:pPr>
      <w:bookmarkStart w:id="97" w:name="_Toc19136"/>
      <w:bookmarkStart w:id="98" w:name="_Toc26863"/>
      <w:r>
        <w:rPr>
          <w:rFonts w:hint="eastAsia" w:ascii="楷体_GB2312" w:hAnsi="楷体_GB2312" w:eastAsia="楷体_GB2312" w:cs="楷体_GB2312"/>
          <w:bCs/>
          <w:sz w:val="32"/>
          <w:szCs w:val="32"/>
        </w:rPr>
        <w:t>产出情况分析</w:t>
      </w:r>
      <w:bookmarkEnd w:id="97"/>
    </w:p>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bookmarkStart w:id="99" w:name="_Toc16356"/>
      <w:r>
        <w:rPr>
          <w:rFonts w:hint="eastAsia" w:ascii="仿宋_GB2312" w:hAnsi="仿宋_GB2312" w:eastAsia="仿宋_GB2312" w:cs="仿宋_GB2312"/>
          <w:bCs/>
          <w:kern w:val="0"/>
          <w:sz w:val="32"/>
          <w:szCs w:val="32"/>
        </w:rPr>
        <w:t xml:space="preserve">产出方面指标分值18分，得16.5分，得分率92%。 </w:t>
      </w:r>
    </w:p>
    <w:bookmarkEnd w:id="99"/>
    <w:p>
      <w:pPr>
        <w:widowControl/>
        <w:tabs>
          <w:tab w:val="left" w:pos="2740"/>
        </w:tabs>
        <w:adjustRightInd w:val="0"/>
        <w:snapToGrid w:val="0"/>
        <w:spacing w:line="580" w:lineRule="exact"/>
        <w:ind w:firstLine="640" w:firstLineChars="200"/>
        <w:jc w:val="left"/>
        <w:outlineLvl w:val="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依据城阳区人民检察院2021年度工作计划和总结，产出情况围绕重点工作内容和职责目标完成程度和质量，从项目实际完成率、完成及时率、质量达标率和重点工作办结率4个方面和内容进行评价。具体如下：</w:t>
      </w:r>
    </w:p>
    <w:p>
      <w:pPr>
        <w:widowControl/>
        <w:tabs>
          <w:tab w:val="left" w:pos="2740"/>
        </w:tabs>
        <w:adjustRightInd w:val="0"/>
        <w:snapToGrid w:val="0"/>
        <w:spacing w:line="580" w:lineRule="exact"/>
        <w:ind w:firstLine="640"/>
        <w:jc w:val="center"/>
        <w:outlineLvl w:val="0"/>
        <w:rPr>
          <w:rFonts w:ascii="仿宋" w:hAnsi="仿宋" w:eastAsia="仿宋" w:cs="仿宋"/>
          <w:bCs/>
          <w:kern w:val="0"/>
          <w:sz w:val="28"/>
          <w:szCs w:val="28"/>
        </w:rPr>
      </w:pPr>
      <w:bookmarkStart w:id="100" w:name="_Toc76832592"/>
      <w:r>
        <w:rPr>
          <w:rFonts w:hint="eastAsia" w:ascii="仿宋" w:hAnsi="仿宋" w:eastAsia="仿宋" w:cs="仿宋"/>
          <w:bCs/>
          <w:kern w:val="0"/>
          <w:sz w:val="28"/>
          <w:szCs w:val="28"/>
        </w:rPr>
        <w:t>表4-3产出指标得分情况</w:t>
      </w:r>
      <w:bookmarkEnd w:id="100"/>
    </w:p>
    <w:tbl>
      <w:tblPr>
        <w:tblStyle w:val="22"/>
        <w:tblW w:w="0" w:type="auto"/>
        <w:jc w:val="center"/>
        <w:tblLayout w:type="fixed"/>
        <w:tblCellMar>
          <w:top w:w="0" w:type="dxa"/>
          <w:left w:w="108" w:type="dxa"/>
          <w:bottom w:w="0" w:type="dxa"/>
          <w:right w:w="108" w:type="dxa"/>
        </w:tblCellMar>
      </w:tblPr>
      <w:tblGrid>
        <w:gridCol w:w="1455"/>
        <w:gridCol w:w="1686"/>
        <w:gridCol w:w="636"/>
        <w:gridCol w:w="1456"/>
        <w:gridCol w:w="1398"/>
        <w:gridCol w:w="1037"/>
        <w:gridCol w:w="851"/>
      </w:tblGrid>
      <w:tr>
        <w:tblPrEx>
          <w:tblCellMar>
            <w:top w:w="0" w:type="dxa"/>
            <w:left w:w="108" w:type="dxa"/>
            <w:bottom w:w="0" w:type="dxa"/>
            <w:right w:w="108" w:type="dxa"/>
          </w:tblCellMar>
        </w:tblPrEx>
        <w:trPr>
          <w:trHeight w:val="480" w:hRule="atLeast"/>
          <w:jc w:val="center"/>
        </w:trPr>
        <w:tc>
          <w:tcPr>
            <w:tcW w:w="14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二级指标</w:t>
            </w:r>
          </w:p>
        </w:tc>
        <w:tc>
          <w:tcPr>
            <w:tcW w:w="168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末级指标</w:t>
            </w:r>
          </w:p>
        </w:tc>
        <w:tc>
          <w:tcPr>
            <w:tcW w:w="63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分值</w:t>
            </w:r>
          </w:p>
        </w:tc>
        <w:tc>
          <w:tcPr>
            <w:tcW w:w="145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标杆值</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rPr>
            </w:pPr>
            <w:r>
              <w:rPr>
                <w:rFonts w:hint="eastAsia" w:ascii="仿宋" w:hAnsi="仿宋" w:eastAsia="仿宋" w:cs="仿宋"/>
                <w:kern w:val="0"/>
              </w:rPr>
              <w:t>指标值</w:t>
            </w:r>
          </w:p>
        </w:tc>
        <w:tc>
          <w:tcPr>
            <w:tcW w:w="103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得分</w:t>
            </w:r>
          </w:p>
        </w:tc>
        <w:tc>
          <w:tcPr>
            <w:tcW w:w="85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得分率</w:t>
            </w:r>
          </w:p>
        </w:tc>
      </w:tr>
      <w:tr>
        <w:tblPrEx>
          <w:tblCellMar>
            <w:top w:w="0" w:type="dxa"/>
            <w:left w:w="108" w:type="dxa"/>
            <w:bottom w:w="0" w:type="dxa"/>
            <w:right w:w="108" w:type="dxa"/>
          </w:tblCellMar>
        </w:tblPrEx>
        <w:trPr>
          <w:trHeight w:val="480" w:hRule="atLeast"/>
          <w:jc w:val="center"/>
        </w:trPr>
        <w:tc>
          <w:tcPr>
            <w:tcW w:w="1455" w:type="dxa"/>
            <w:vMerge w:val="restart"/>
            <w:tcBorders>
              <w:top w:val="single" w:color="000000" w:sz="4" w:space="0"/>
              <w:left w:val="single" w:color="000000" w:sz="4" w:space="0"/>
              <w:right w:val="single" w:color="000000" w:sz="4" w:space="0"/>
            </w:tcBorders>
            <w:noWrap/>
            <w:vAlign w:val="center"/>
          </w:tcPr>
          <w:p>
            <w:pPr>
              <w:widowControl/>
              <w:jc w:val="center"/>
              <w:textAlignment w:val="center"/>
              <w:rPr>
                <w:rFonts w:ascii="仿宋" w:hAnsi="仿宋" w:eastAsia="仿宋" w:cs="仿宋"/>
                <w:kern w:val="0"/>
              </w:rPr>
            </w:pPr>
            <w:r>
              <w:rPr>
                <w:rFonts w:hint="eastAsia" w:ascii="仿宋" w:hAnsi="仿宋" w:eastAsia="仿宋" w:cs="仿宋"/>
                <w:kern w:val="0"/>
              </w:rPr>
              <w:t>职责履行</w:t>
            </w:r>
          </w:p>
        </w:tc>
        <w:tc>
          <w:tcPr>
            <w:tcW w:w="168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实际完成率</w:t>
            </w:r>
          </w:p>
        </w:tc>
        <w:tc>
          <w:tcPr>
            <w:tcW w:w="63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5</w:t>
            </w:r>
          </w:p>
        </w:tc>
        <w:tc>
          <w:tcPr>
            <w:tcW w:w="145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100%</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rPr>
            </w:pPr>
            <w:r>
              <w:rPr>
                <w:rFonts w:hint="eastAsia" w:ascii="仿宋" w:hAnsi="仿宋" w:eastAsia="仿宋" w:cs="仿宋"/>
              </w:rPr>
              <w:t>94.44%</w:t>
            </w:r>
          </w:p>
        </w:tc>
        <w:tc>
          <w:tcPr>
            <w:tcW w:w="103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rPr>
              <w:t>4.4</w:t>
            </w:r>
          </w:p>
        </w:tc>
        <w:tc>
          <w:tcPr>
            <w:tcW w:w="85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rPr>
              <w:t>88%</w:t>
            </w:r>
          </w:p>
        </w:tc>
      </w:tr>
      <w:tr>
        <w:tblPrEx>
          <w:tblCellMar>
            <w:top w:w="0" w:type="dxa"/>
            <w:left w:w="108" w:type="dxa"/>
            <w:bottom w:w="0" w:type="dxa"/>
            <w:right w:w="108" w:type="dxa"/>
          </w:tblCellMar>
        </w:tblPrEx>
        <w:trPr>
          <w:trHeight w:val="480" w:hRule="atLeast"/>
          <w:jc w:val="center"/>
        </w:trPr>
        <w:tc>
          <w:tcPr>
            <w:tcW w:w="1455" w:type="dxa"/>
            <w:vMerge w:val="continue"/>
            <w:tcBorders>
              <w:left w:val="single" w:color="000000" w:sz="4" w:space="0"/>
              <w:right w:val="single" w:color="000000" w:sz="4" w:space="0"/>
            </w:tcBorders>
            <w:noWrap/>
            <w:vAlign w:val="center"/>
          </w:tcPr>
          <w:p>
            <w:pPr>
              <w:widowControl/>
              <w:jc w:val="center"/>
              <w:textAlignment w:val="center"/>
              <w:rPr>
                <w:rFonts w:ascii="仿宋" w:hAnsi="仿宋" w:eastAsia="仿宋" w:cs="仿宋"/>
                <w:kern w:val="0"/>
              </w:rPr>
            </w:pPr>
          </w:p>
        </w:tc>
        <w:tc>
          <w:tcPr>
            <w:tcW w:w="168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完成及时率</w:t>
            </w:r>
          </w:p>
        </w:tc>
        <w:tc>
          <w:tcPr>
            <w:tcW w:w="63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5</w:t>
            </w:r>
          </w:p>
        </w:tc>
        <w:tc>
          <w:tcPr>
            <w:tcW w:w="145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100%</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rPr>
            </w:pPr>
            <w:r>
              <w:rPr>
                <w:rFonts w:hint="eastAsia" w:ascii="仿宋" w:hAnsi="仿宋" w:eastAsia="仿宋" w:cs="仿宋"/>
              </w:rPr>
              <w:t>100%</w:t>
            </w:r>
          </w:p>
        </w:tc>
        <w:tc>
          <w:tcPr>
            <w:tcW w:w="103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rPr>
              <w:t>5</w:t>
            </w:r>
          </w:p>
        </w:tc>
        <w:tc>
          <w:tcPr>
            <w:tcW w:w="85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rPr>
              <w:t>100%</w:t>
            </w:r>
          </w:p>
        </w:tc>
      </w:tr>
      <w:tr>
        <w:tblPrEx>
          <w:tblCellMar>
            <w:top w:w="0" w:type="dxa"/>
            <w:left w:w="108" w:type="dxa"/>
            <w:bottom w:w="0" w:type="dxa"/>
            <w:right w:w="108" w:type="dxa"/>
          </w:tblCellMar>
        </w:tblPrEx>
        <w:trPr>
          <w:trHeight w:val="506" w:hRule="atLeast"/>
          <w:jc w:val="center"/>
        </w:trPr>
        <w:tc>
          <w:tcPr>
            <w:tcW w:w="1455" w:type="dxa"/>
            <w:vMerge w:val="continue"/>
            <w:tcBorders>
              <w:left w:val="single" w:color="000000" w:sz="4" w:space="0"/>
              <w:right w:val="single" w:color="000000" w:sz="4" w:space="0"/>
            </w:tcBorders>
            <w:noWrap/>
            <w:vAlign w:val="center"/>
          </w:tcPr>
          <w:p>
            <w:pPr>
              <w:widowControl/>
              <w:jc w:val="center"/>
              <w:textAlignment w:val="center"/>
              <w:rPr>
                <w:rFonts w:ascii="仿宋" w:hAnsi="仿宋" w:eastAsia="仿宋" w:cs="仿宋"/>
                <w:kern w:val="0"/>
              </w:rPr>
            </w:pPr>
          </w:p>
        </w:tc>
        <w:tc>
          <w:tcPr>
            <w:tcW w:w="168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质量达标率</w:t>
            </w:r>
          </w:p>
        </w:tc>
        <w:tc>
          <w:tcPr>
            <w:tcW w:w="63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4</w:t>
            </w:r>
          </w:p>
        </w:tc>
        <w:tc>
          <w:tcPr>
            <w:tcW w:w="145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100%</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rPr>
            </w:pPr>
            <w:r>
              <w:rPr>
                <w:rFonts w:hint="eastAsia" w:ascii="仿宋" w:hAnsi="仿宋" w:eastAsia="仿宋" w:cs="仿宋"/>
              </w:rPr>
              <w:t>部分不规范</w:t>
            </w:r>
          </w:p>
        </w:tc>
        <w:tc>
          <w:tcPr>
            <w:tcW w:w="103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3.4</w:t>
            </w:r>
          </w:p>
        </w:tc>
        <w:tc>
          <w:tcPr>
            <w:tcW w:w="85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rPr>
              <w:t>85%</w:t>
            </w:r>
          </w:p>
        </w:tc>
      </w:tr>
      <w:tr>
        <w:tblPrEx>
          <w:tblCellMar>
            <w:top w:w="0" w:type="dxa"/>
            <w:left w:w="108" w:type="dxa"/>
            <w:bottom w:w="0" w:type="dxa"/>
            <w:right w:w="108" w:type="dxa"/>
          </w:tblCellMar>
        </w:tblPrEx>
        <w:trPr>
          <w:trHeight w:val="518" w:hRule="atLeast"/>
          <w:jc w:val="center"/>
        </w:trPr>
        <w:tc>
          <w:tcPr>
            <w:tcW w:w="1455" w:type="dxa"/>
            <w:vMerge w:val="continue"/>
            <w:tcBorders>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p>
        </w:tc>
        <w:tc>
          <w:tcPr>
            <w:tcW w:w="168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重点工作办结率</w:t>
            </w:r>
          </w:p>
        </w:tc>
        <w:tc>
          <w:tcPr>
            <w:tcW w:w="63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4</w:t>
            </w:r>
          </w:p>
        </w:tc>
        <w:tc>
          <w:tcPr>
            <w:tcW w:w="145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100%</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rPr>
            </w:pPr>
            <w:r>
              <w:rPr>
                <w:rFonts w:hint="eastAsia" w:ascii="仿宋" w:hAnsi="仿宋" w:eastAsia="仿宋" w:cs="仿宋"/>
              </w:rPr>
              <w:t>92.31%</w:t>
            </w:r>
          </w:p>
        </w:tc>
        <w:tc>
          <w:tcPr>
            <w:tcW w:w="103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3.7</w:t>
            </w:r>
          </w:p>
        </w:tc>
        <w:tc>
          <w:tcPr>
            <w:tcW w:w="85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rPr>
              <w:t>93%</w:t>
            </w:r>
          </w:p>
        </w:tc>
      </w:tr>
      <w:tr>
        <w:tblPrEx>
          <w:tblCellMar>
            <w:top w:w="0" w:type="dxa"/>
            <w:left w:w="108" w:type="dxa"/>
            <w:bottom w:w="0" w:type="dxa"/>
            <w:right w:w="108" w:type="dxa"/>
          </w:tblCellMar>
        </w:tblPrEx>
        <w:trPr>
          <w:trHeight w:val="480" w:hRule="atLeast"/>
          <w:jc w:val="center"/>
        </w:trPr>
        <w:tc>
          <w:tcPr>
            <w:tcW w:w="14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rPr>
            </w:pPr>
          </w:p>
        </w:tc>
        <w:tc>
          <w:tcPr>
            <w:tcW w:w="168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合计</w:t>
            </w:r>
          </w:p>
        </w:tc>
        <w:tc>
          <w:tcPr>
            <w:tcW w:w="636"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18</w:t>
            </w:r>
          </w:p>
        </w:tc>
        <w:tc>
          <w:tcPr>
            <w:tcW w:w="145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仿宋" w:hAnsi="仿宋" w:eastAsia="仿宋" w:cs="仿宋"/>
              </w:rPr>
            </w:pPr>
          </w:p>
        </w:tc>
        <w:tc>
          <w:tcPr>
            <w:tcW w:w="139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rPr>
            </w:pPr>
          </w:p>
        </w:tc>
        <w:tc>
          <w:tcPr>
            <w:tcW w:w="103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kern w:val="0"/>
              </w:rPr>
              <w:t>16.5</w:t>
            </w:r>
          </w:p>
        </w:tc>
        <w:tc>
          <w:tcPr>
            <w:tcW w:w="85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rPr>
            </w:pPr>
            <w:r>
              <w:rPr>
                <w:rFonts w:hint="eastAsia" w:ascii="仿宋" w:hAnsi="仿宋" w:eastAsia="仿宋" w:cs="仿宋"/>
              </w:rPr>
              <w:t>92%</w:t>
            </w:r>
          </w:p>
        </w:tc>
      </w:tr>
    </w:tbl>
    <w:p>
      <w:pPr>
        <w:widowControl/>
        <w:numPr>
          <w:ilvl w:val="0"/>
          <w:numId w:val="3"/>
        </w:numPr>
        <w:tabs>
          <w:tab w:val="left" w:pos="2740"/>
        </w:tabs>
        <w:adjustRightInd w:val="0"/>
        <w:snapToGrid w:val="0"/>
        <w:spacing w:line="580" w:lineRule="exact"/>
        <w:ind w:left="420" w:firstLine="640"/>
        <w:jc w:val="left"/>
        <w:outlineLvl w:val="0"/>
        <w:rPr>
          <w:rFonts w:ascii="楷体_GB2312" w:hAnsi="楷体_GB2312" w:eastAsia="楷体_GB2312" w:cs="楷体_GB2312"/>
          <w:bCs/>
          <w:sz w:val="32"/>
          <w:szCs w:val="32"/>
        </w:rPr>
      </w:pPr>
      <w:bookmarkStart w:id="101" w:name="_Toc5042"/>
      <w:r>
        <w:rPr>
          <w:rFonts w:hint="eastAsia" w:ascii="楷体_GB2312" w:hAnsi="楷体_GB2312" w:eastAsia="楷体_GB2312" w:cs="楷体_GB2312"/>
          <w:bCs/>
          <w:sz w:val="32"/>
          <w:szCs w:val="32"/>
        </w:rPr>
        <w:t>项目效益情况分析</w:t>
      </w:r>
      <w:bookmarkEnd w:id="101"/>
    </w:p>
    <w:p>
      <w:pPr>
        <w:pStyle w:val="12"/>
        <w:ind w:left="0" w:leftChars="0" w:firstLine="729" w:firstLineChars="228"/>
        <w:rPr>
          <w:rFonts w:ascii="仿宋_GB2312" w:hAnsi="仿宋_GB2312" w:eastAsia="仿宋_GB2312" w:cs="仿宋_GB2312"/>
          <w:bCs/>
          <w:kern w:val="0"/>
          <w:sz w:val="32"/>
          <w:szCs w:val="32"/>
          <w:lang w:eastAsia="zh-CN"/>
        </w:rPr>
      </w:pPr>
      <w:r>
        <w:rPr>
          <w:rFonts w:hint="eastAsia" w:ascii="仿宋_GB2312" w:hAnsi="仿宋_GB2312" w:eastAsia="仿宋_GB2312" w:cs="仿宋_GB2312"/>
          <w:bCs/>
          <w:kern w:val="0"/>
          <w:sz w:val="32"/>
          <w:szCs w:val="32"/>
          <w:lang w:eastAsia="zh-CN"/>
        </w:rPr>
        <w:t>效果方面分值50分，得45.7分，得分率91%。从履职效益、满意度两个方面进行评价</w:t>
      </w:r>
      <w:bookmarkEnd w:id="98"/>
      <w:r>
        <w:rPr>
          <w:rFonts w:hint="eastAsia" w:ascii="仿宋_GB2312" w:hAnsi="仿宋_GB2312" w:eastAsia="仿宋_GB2312" w:cs="仿宋_GB2312"/>
          <w:bCs/>
          <w:kern w:val="0"/>
          <w:sz w:val="32"/>
          <w:szCs w:val="32"/>
          <w:lang w:eastAsia="zh-CN"/>
        </w:rPr>
        <w:t>。</w:t>
      </w:r>
    </w:p>
    <w:p>
      <w:pPr>
        <w:pStyle w:val="3"/>
        <w:numPr>
          <w:ilvl w:val="0"/>
          <w:numId w:val="0"/>
        </w:numPr>
        <w:adjustRightInd w:val="0"/>
        <w:snapToGrid w:val="0"/>
        <w:spacing w:line="580" w:lineRule="exact"/>
        <w:ind w:left="640"/>
        <w:rPr>
          <w:lang w:val="en-US"/>
        </w:rPr>
      </w:pPr>
      <w:r>
        <w:rPr>
          <w:rFonts w:hint="eastAsia"/>
          <w:lang w:val="en-US"/>
        </w:rPr>
        <w:t>四、部门主要绩效</w:t>
      </w:r>
    </w:p>
    <w:p>
      <w:pPr>
        <w:pStyle w:val="4"/>
        <w:ind w:firstLine="640"/>
        <w:rPr>
          <w:rFonts w:ascii="仿宋_GB2312"/>
          <w:sz w:val="32"/>
          <w:szCs w:val="32"/>
          <w:lang w:val="en-US"/>
        </w:rPr>
      </w:pPr>
      <w:r>
        <w:rPr>
          <w:rFonts w:hint="eastAsia" w:ascii="仿宋_GB2312"/>
          <w:sz w:val="32"/>
          <w:szCs w:val="32"/>
          <w:lang w:val="en-US"/>
        </w:rPr>
        <w:t>基本支出完成3431.36万元，办公、办案工作顺利开展，完成全年的人员工资福利支出。项目支出方面，购买文案整理服务事项按期完成。派驻监管场所分保建设，省市院未建设，考虑顶层设计，我院未能实施。受疫情影响，未成年人检察工作专项基金支出进度较慢，年中进行预算调整，完成部分未成年人救助事项。智慧检务（国产化云桌面二期及配套系统、政法协同子系统、移动办公办案系统）因顶层设计，我院仅部分实施，年中进行了相应的预算调整。</w:t>
      </w:r>
    </w:p>
    <w:p>
      <w:pPr>
        <w:pStyle w:val="3"/>
        <w:numPr>
          <w:ilvl w:val="0"/>
          <w:numId w:val="0"/>
        </w:numPr>
        <w:adjustRightInd w:val="0"/>
        <w:snapToGrid w:val="0"/>
        <w:spacing w:line="580" w:lineRule="exact"/>
        <w:ind w:left="640"/>
        <w:rPr>
          <w:lang w:val="en-US"/>
        </w:rPr>
      </w:pPr>
      <w:r>
        <w:rPr>
          <w:rFonts w:hint="eastAsia"/>
          <w:lang w:val="en-US"/>
        </w:rPr>
        <w:t>五、存在的问题</w:t>
      </w:r>
    </w:p>
    <w:p>
      <w:pPr>
        <w:adjustRightInd w:val="0"/>
        <w:spacing w:line="580" w:lineRule="exact"/>
        <w:ind w:left="555"/>
        <w:rPr>
          <w:rFonts w:ascii="仿宋_GB2312" w:eastAsia="仿宋_GB2312"/>
          <w:sz w:val="32"/>
          <w:szCs w:val="32"/>
        </w:rPr>
      </w:pPr>
      <w:r>
        <w:rPr>
          <w:rFonts w:hint="eastAsia" w:ascii="仿宋_GB2312" w:hAnsi="等线" w:eastAsia="仿宋_GB2312" w:cs="Times New Roman"/>
          <w:sz w:val="32"/>
          <w:szCs w:val="32"/>
        </w:rPr>
        <w:t>派驻监管场所分支网络分保建设项目预算为50万元，因</w:t>
      </w:r>
    </w:p>
    <w:p>
      <w:pPr>
        <w:adjustRightInd w:val="0"/>
        <w:spacing w:line="580" w:lineRule="exact"/>
        <w:rPr>
          <w:rFonts w:ascii="仿宋_GB2312" w:eastAsia="仿宋_GB2312"/>
          <w:sz w:val="32"/>
          <w:szCs w:val="32"/>
        </w:rPr>
      </w:pPr>
      <w:r>
        <w:rPr>
          <w:rFonts w:hint="eastAsia" w:ascii="仿宋_GB2312" w:hAnsi="等线" w:eastAsia="仿宋_GB2312" w:cs="Times New Roman"/>
          <w:sz w:val="32"/>
          <w:szCs w:val="32"/>
        </w:rPr>
        <w:t>新冠疫情，看守所封闭，项目不能实施。智慧检务（国产化云桌面二期及配套系统、政法协同子系统、移动办公办案系统）预算为100万元，因顶层设计需要，省市院只下达部分模块建设通知，我院仅能支出34万元。未成年人检察工作专项基金年初预算27万元，因新冠疫情，上半年未能实现支出，下半年仅能完成部分支出。</w:t>
      </w:r>
      <w:r>
        <w:rPr>
          <w:rFonts w:hint="eastAsia" w:ascii="仿宋_GB2312" w:hAnsi="仿宋_GB2312" w:eastAsia="仿宋_GB2312" w:cs="Times New Roman"/>
          <w:sz w:val="32"/>
          <w:szCs w:val="32"/>
        </w:rPr>
        <w:t>受疫情影响以及顶层设计的要求，我院年初预算的部分项目不能实施或是仅部分实施。</w:t>
      </w:r>
    </w:p>
    <w:p>
      <w:pPr>
        <w:pStyle w:val="3"/>
        <w:numPr>
          <w:ilvl w:val="0"/>
          <w:numId w:val="0"/>
        </w:numPr>
        <w:adjustRightInd w:val="0"/>
        <w:snapToGrid w:val="0"/>
        <w:spacing w:line="580" w:lineRule="exact"/>
        <w:ind w:left="640"/>
        <w:rPr>
          <w:lang w:val="en-US"/>
        </w:rPr>
      </w:pPr>
      <w:r>
        <w:rPr>
          <w:rFonts w:hint="eastAsia"/>
          <w:lang w:val="en-US"/>
        </w:rPr>
        <w:t>六、相关建议</w:t>
      </w:r>
    </w:p>
    <w:p>
      <w:pPr>
        <w:pStyle w:val="4"/>
        <w:ind w:firstLine="560"/>
        <w:rPr>
          <w:lang w:val="en-US"/>
        </w:rPr>
      </w:pPr>
      <w:r>
        <w:rPr>
          <w:rFonts w:hint="eastAsia"/>
          <w:lang w:val="en-US"/>
        </w:rPr>
        <w:t>建议编制预算时，加强与上级业务部门沟通，精准编制预算。加强预算执行，将预算进度提交党组会，督促业务科室加快支出进度。</w:t>
      </w:r>
    </w:p>
    <w:p>
      <w:pPr>
        <w:pStyle w:val="3"/>
        <w:numPr>
          <w:ilvl w:val="0"/>
          <w:numId w:val="0"/>
        </w:numPr>
        <w:adjustRightInd w:val="0"/>
        <w:snapToGrid w:val="0"/>
        <w:spacing w:line="580" w:lineRule="exact"/>
        <w:ind w:left="640"/>
        <w:rPr>
          <w:lang w:val="en-US"/>
        </w:rPr>
      </w:pPr>
      <w:r>
        <w:rPr>
          <w:rFonts w:hint="eastAsia"/>
          <w:lang w:val="en-US"/>
        </w:rPr>
        <w:t>七、评价单位盖章和人员签字</w:t>
      </w:r>
    </w:p>
    <w:p>
      <w:pPr>
        <w:pStyle w:val="4"/>
        <w:adjustRightInd w:val="0"/>
        <w:snapToGrid w:val="0"/>
        <w:spacing w:line="580" w:lineRule="exact"/>
        <w:ind w:firstLine="0" w:firstLineChars="0"/>
        <w:rPr>
          <w:lang w:val="en-US"/>
        </w:rPr>
      </w:pPr>
    </w:p>
    <w:p>
      <w:pPr>
        <w:pStyle w:val="4"/>
        <w:adjustRightInd w:val="0"/>
        <w:snapToGrid w:val="0"/>
        <w:spacing w:line="580" w:lineRule="exact"/>
        <w:ind w:firstLine="560"/>
        <w:rPr>
          <w:rFonts w:ascii="仿宋_GB2312"/>
          <w:szCs w:val="22"/>
        </w:rPr>
      </w:pPr>
      <w:r>
        <w:rPr>
          <w:rFonts w:hint="eastAsia"/>
          <w:lang w:val="en-US"/>
        </w:rPr>
        <w:t>附件：</w:t>
      </w:r>
      <w:r>
        <w:rPr>
          <w:lang w:val="en-US"/>
        </w:rPr>
        <w:t>1.</w:t>
      </w:r>
      <w:r>
        <w:rPr>
          <w:rFonts w:hint="eastAsia" w:ascii="仿宋_GB2312"/>
          <w:szCs w:val="22"/>
        </w:rPr>
        <w:t>部门整体支出指标体系；</w:t>
      </w:r>
    </w:p>
    <w:p>
      <w:pPr>
        <w:pStyle w:val="47"/>
        <w:adjustRightInd w:val="0"/>
        <w:snapToGrid w:val="0"/>
        <w:spacing w:line="360" w:lineRule="auto"/>
        <w:rPr>
          <w:rFonts w:ascii="宋体" w:hAnsi="宋体" w:eastAsia="宋体" w:cs="宋体"/>
        </w:rPr>
      </w:pPr>
    </w:p>
    <w:sectPr>
      <w:footerReference r:id="rId3" w:type="default"/>
      <w:footnotePr>
        <w:numRestart w:val="eachPage"/>
      </w:footnotePr>
      <w:pgSz w:w="11906" w:h="16838"/>
      <w:pgMar w:top="1440" w:right="1800" w:bottom="1440" w:left="1800"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DFKai-SB">
    <w:altName w:val="Microsoft JhengHei Light"/>
    <w:panose1 w:val="03000509000000000000"/>
    <w:charset w:val="88"/>
    <w:family w:val="script"/>
    <w:pitch w:val="default"/>
    <w:sig w:usb0="00000000" w:usb1="00000000" w:usb2="00000016" w:usb3="00000000" w:csb0="00100001" w:csb1="00000000"/>
  </w:font>
  <w:font w:name="方正小标宋_GBK">
    <w:altName w:val="微软雅黑"/>
    <w:panose1 w:val="03000509000000000000"/>
    <w:charset w:val="86"/>
    <w:family w:val="script"/>
    <w:pitch w:val="default"/>
    <w:sig w:usb0="00000000" w:usb1="00000000" w:usb2="00000010" w:usb3="00000000" w:csb0="00040000" w:csb1="00000000"/>
  </w:font>
  <w:font w:name="文星简黑体">
    <w:altName w:val="黑体"/>
    <w:panose1 w:val="00000000000000000000"/>
    <w:charset w:val="86"/>
    <w:family w:val="roma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Microsoft JhengHei Light">
    <w:panose1 w:val="020B0304030504040204"/>
    <w:charset w:val="88"/>
    <w:family w:val="auto"/>
    <w:pitch w:val="default"/>
    <w:sig w:usb0="8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4936245"/>
      <w:showingPlcHdr/>
    </w:sdtPr>
    <w:sdtContent>
      <w:p>
        <w:pPr>
          <w:pStyle w:val="47"/>
        </w:pP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465535"/>
    <w:multiLevelType w:val="singleLevel"/>
    <w:tmpl w:val="C5465535"/>
    <w:lvl w:ilvl="0" w:tentative="0">
      <w:start w:val="2"/>
      <w:numFmt w:val="decimal"/>
      <w:suff w:val="nothing"/>
      <w:lvlText w:val="（%1）"/>
      <w:lvlJc w:val="left"/>
      <w:pPr>
        <w:ind w:left="-10"/>
      </w:pPr>
    </w:lvl>
  </w:abstractNum>
  <w:abstractNum w:abstractNumId="1">
    <w:nsid w:val="FEEF8ECE"/>
    <w:multiLevelType w:val="singleLevel"/>
    <w:tmpl w:val="FEEF8ECE"/>
    <w:lvl w:ilvl="0" w:tentative="0">
      <w:start w:val="1"/>
      <w:numFmt w:val="decimal"/>
      <w:suff w:val="nothing"/>
      <w:lvlText w:val="%1、"/>
      <w:lvlJc w:val="left"/>
    </w:lvl>
  </w:abstractNum>
  <w:abstractNum w:abstractNumId="2">
    <w:nsid w:val="540D7E78"/>
    <w:multiLevelType w:val="singleLevel"/>
    <w:tmpl w:val="540D7E78"/>
    <w:lvl w:ilvl="0" w:tentative="0">
      <w:start w:val="1"/>
      <w:numFmt w:val="decimal"/>
      <w:suff w:val="nothing"/>
      <w:lvlText w:val="%1、"/>
      <w:lvlJc w:val="left"/>
    </w:lvl>
  </w:abstractNum>
  <w:abstractNum w:abstractNumId="3">
    <w:nsid w:val="610671B8"/>
    <w:multiLevelType w:val="multilevel"/>
    <w:tmpl w:val="610671B8"/>
    <w:lvl w:ilvl="0" w:tentative="0">
      <w:start w:val="1"/>
      <w:numFmt w:val="chineseCountingThousand"/>
      <w:pStyle w:val="3"/>
      <w:suff w:val="nothing"/>
      <w:lvlText w:val="%1、"/>
      <w:lvlJc w:val="left"/>
      <w:pPr>
        <w:ind w:left="4253" w:hanging="425"/>
      </w:pPr>
      <w:rPr>
        <w:rFonts w:hint="eastAsia"/>
      </w:rPr>
    </w:lvl>
    <w:lvl w:ilvl="1" w:tentative="0">
      <w:start w:val="1"/>
      <w:numFmt w:val="chineseCountingThousand"/>
      <w:pStyle w:val="5"/>
      <w:suff w:val="nothing"/>
      <w:lvlText w:val="（%2）"/>
      <w:lvlJc w:val="left"/>
      <w:pPr>
        <w:ind w:left="709" w:hanging="567"/>
      </w:pPr>
      <w:rPr>
        <w:rFonts w:hint="eastAsia"/>
      </w:rPr>
    </w:lvl>
    <w:lvl w:ilvl="2" w:tentative="0">
      <w:start w:val="1"/>
      <w:numFmt w:val="decimal"/>
      <w:pStyle w:val="6"/>
      <w:suff w:val="nothing"/>
      <w:lvlText w:val="%3. "/>
      <w:lvlJc w:val="left"/>
      <w:pPr>
        <w:ind w:left="426" w:hanging="567"/>
      </w:pPr>
      <w:rPr>
        <w:rFonts w:hint="eastAsia"/>
      </w:rPr>
    </w:lvl>
    <w:lvl w:ilvl="3" w:tentative="0">
      <w:start w:val="1"/>
      <w:numFmt w:val="decimal"/>
      <w:pStyle w:val="7"/>
      <w:suff w:val="nothing"/>
      <w:lvlText w:val="（%4）"/>
      <w:lvlJc w:val="left"/>
      <w:pPr>
        <w:ind w:left="1134" w:hanging="425"/>
      </w:pPr>
      <w:rPr>
        <w:rFonts w:hint="eastAsia"/>
      </w:rPr>
    </w:lvl>
    <w:lvl w:ilvl="4" w:tentative="0">
      <w:start w:val="1"/>
      <w:numFmt w:val="decimal"/>
      <w:pStyle w:val="8"/>
      <w:suff w:val="nothing"/>
      <w:lvlText w:val="%5）"/>
      <w:lvlJc w:val="left"/>
      <w:pPr>
        <w:ind w:left="709" w:hanging="113"/>
      </w:pPr>
      <w:rPr>
        <w:rFonts w:hint="eastAsia"/>
      </w:rPr>
    </w:lvl>
    <w:lvl w:ilvl="5" w:tentative="0">
      <w:start w:val="1"/>
      <w:numFmt w:val="decimal"/>
      <w:pStyle w:val="54"/>
      <w:suff w:val="nothing"/>
      <w:lvlText w:val="附件%6 "/>
      <w:lvlJc w:val="left"/>
      <w:pPr>
        <w:ind w:left="-283" w:firstLine="0"/>
      </w:pPr>
      <w:rPr>
        <w:rFonts w:hint="eastAsia"/>
      </w:rPr>
    </w:lvl>
    <w:lvl w:ilvl="6" w:tentative="0">
      <w:start w:val="1"/>
      <w:numFmt w:val="chineseCountingThousand"/>
      <w:suff w:val="nothing"/>
      <w:lvlText w:val="%7、"/>
      <w:lvlJc w:val="left"/>
      <w:pPr>
        <w:ind w:left="709" w:hanging="567"/>
      </w:pPr>
      <w:rPr>
        <w:rFonts w:hint="eastAsia"/>
      </w:rPr>
    </w:lvl>
    <w:lvl w:ilvl="7" w:tentative="0">
      <w:start w:val="1"/>
      <w:numFmt w:val="chineseCountingThousand"/>
      <w:suff w:val="nothing"/>
      <w:lvlText w:val="（%8）"/>
      <w:lvlJc w:val="left"/>
      <w:pPr>
        <w:ind w:left="709" w:hanging="567"/>
      </w:pPr>
      <w:rPr>
        <w:rFonts w:hint="eastAsia"/>
      </w:rPr>
    </w:lvl>
    <w:lvl w:ilvl="8" w:tentative="0">
      <w:start w:val="1"/>
      <w:numFmt w:val="decimal"/>
      <w:suff w:val="nothing"/>
      <w:lvlText w:val="%9. "/>
      <w:lvlJc w:val="left"/>
      <w:pPr>
        <w:ind w:left="709" w:hanging="567"/>
      </w:pPr>
      <w:rPr>
        <w:rFonts w:hint="eastAsia"/>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bordersDoNotSurroundHeader w:val="1"/>
  <w:bordersDoNotSurroundFooter w:val="1"/>
  <w:hideSpellingErrors/>
  <w:attachedTemplate r:id="rId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footnotePr>
    <w:numRestart w:val="eachPage"/>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I3NDYyZDM3ZDMzMDEzNzIxOGMyNDZkYmJhOTBmMDQifQ=="/>
  </w:docVars>
  <w:rsids>
    <w:rsidRoot w:val="0044724D"/>
    <w:rsid w:val="00007C5A"/>
    <w:rsid w:val="000103F6"/>
    <w:rsid w:val="00015FD7"/>
    <w:rsid w:val="00017425"/>
    <w:rsid w:val="000215FD"/>
    <w:rsid w:val="00025E1A"/>
    <w:rsid w:val="00026E7E"/>
    <w:rsid w:val="00035C58"/>
    <w:rsid w:val="00044534"/>
    <w:rsid w:val="00045368"/>
    <w:rsid w:val="0005304B"/>
    <w:rsid w:val="00053EAD"/>
    <w:rsid w:val="0005634B"/>
    <w:rsid w:val="00065703"/>
    <w:rsid w:val="00066C9A"/>
    <w:rsid w:val="00071965"/>
    <w:rsid w:val="0007571D"/>
    <w:rsid w:val="000760DA"/>
    <w:rsid w:val="00080D15"/>
    <w:rsid w:val="00083FCC"/>
    <w:rsid w:val="00086675"/>
    <w:rsid w:val="00091146"/>
    <w:rsid w:val="000919A8"/>
    <w:rsid w:val="00092548"/>
    <w:rsid w:val="000930F8"/>
    <w:rsid w:val="000962ED"/>
    <w:rsid w:val="000A261F"/>
    <w:rsid w:val="000A612E"/>
    <w:rsid w:val="000B4F9A"/>
    <w:rsid w:val="000C0DDB"/>
    <w:rsid w:val="000C277D"/>
    <w:rsid w:val="000D04E1"/>
    <w:rsid w:val="000D58E7"/>
    <w:rsid w:val="000E5EFC"/>
    <w:rsid w:val="000E7309"/>
    <w:rsid w:val="000F0A10"/>
    <w:rsid w:val="000F2B10"/>
    <w:rsid w:val="000F58AF"/>
    <w:rsid w:val="000F73D4"/>
    <w:rsid w:val="000F7747"/>
    <w:rsid w:val="00102E6B"/>
    <w:rsid w:val="00104628"/>
    <w:rsid w:val="001055C8"/>
    <w:rsid w:val="00107BD6"/>
    <w:rsid w:val="00110233"/>
    <w:rsid w:val="00110F1D"/>
    <w:rsid w:val="001124FB"/>
    <w:rsid w:val="001130E9"/>
    <w:rsid w:val="00114DEE"/>
    <w:rsid w:val="001171EA"/>
    <w:rsid w:val="00120DC7"/>
    <w:rsid w:val="00121E22"/>
    <w:rsid w:val="00132A28"/>
    <w:rsid w:val="00144B6F"/>
    <w:rsid w:val="00147239"/>
    <w:rsid w:val="00147A7E"/>
    <w:rsid w:val="00152D39"/>
    <w:rsid w:val="001555BF"/>
    <w:rsid w:val="00160F87"/>
    <w:rsid w:val="00162F82"/>
    <w:rsid w:val="00163A98"/>
    <w:rsid w:val="00165398"/>
    <w:rsid w:val="00170697"/>
    <w:rsid w:val="00172053"/>
    <w:rsid w:val="00173F46"/>
    <w:rsid w:val="001807D4"/>
    <w:rsid w:val="00181230"/>
    <w:rsid w:val="00184ABA"/>
    <w:rsid w:val="00192F0D"/>
    <w:rsid w:val="0019781C"/>
    <w:rsid w:val="00197D2B"/>
    <w:rsid w:val="001A05A0"/>
    <w:rsid w:val="001A7797"/>
    <w:rsid w:val="001B1EA4"/>
    <w:rsid w:val="001B24EE"/>
    <w:rsid w:val="001B486E"/>
    <w:rsid w:val="001C60B0"/>
    <w:rsid w:val="001C7F11"/>
    <w:rsid w:val="001D2018"/>
    <w:rsid w:val="001E4440"/>
    <w:rsid w:val="001F5DA5"/>
    <w:rsid w:val="00204B59"/>
    <w:rsid w:val="00205309"/>
    <w:rsid w:val="002068C4"/>
    <w:rsid w:val="00216BF3"/>
    <w:rsid w:val="002173D5"/>
    <w:rsid w:val="00221726"/>
    <w:rsid w:val="00222A88"/>
    <w:rsid w:val="0022387E"/>
    <w:rsid w:val="00233597"/>
    <w:rsid w:val="0023442A"/>
    <w:rsid w:val="00237C0D"/>
    <w:rsid w:val="00257DCB"/>
    <w:rsid w:val="0026269B"/>
    <w:rsid w:val="00270EA4"/>
    <w:rsid w:val="00270F7F"/>
    <w:rsid w:val="00272D30"/>
    <w:rsid w:val="00274941"/>
    <w:rsid w:val="00277770"/>
    <w:rsid w:val="00281D6F"/>
    <w:rsid w:val="00295624"/>
    <w:rsid w:val="002A429E"/>
    <w:rsid w:val="002A44DB"/>
    <w:rsid w:val="002B01E4"/>
    <w:rsid w:val="002B4447"/>
    <w:rsid w:val="002C3232"/>
    <w:rsid w:val="002C46C0"/>
    <w:rsid w:val="002D58DE"/>
    <w:rsid w:val="002E3092"/>
    <w:rsid w:val="002F0BBF"/>
    <w:rsid w:val="00304B83"/>
    <w:rsid w:val="00306A50"/>
    <w:rsid w:val="00306E74"/>
    <w:rsid w:val="0033302E"/>
    <w:rsid w:val="00335586"/>
    <w:rsid w:val="0034036D"/>
    <w:rsid w:val="0034355A"/>
    <w:rsid w:val="003453B8"/>
    <w:rsid w:val="00345EF3"/>
    <w:rsid w:val="0035699D"/>
    <w:rsid w:val="00356FCE"/>
    <w:rsid w:val="003727B2"/>
    <w:rsid w:val="00376C94"/>
    <w:rsid w:val="00383CBD"/>
    <w:rsid w:val="00390FDC"/>
    <w:rsid w:val="003957CB"/>
    <w:rsid w:val="0039624B"/>
    <w:rsid w:val="00397DBF"/>
    <w:rsid w:val="003A14CB"/>
    <w:rsid w:val="003A599D"/>
    <w:rsid w:val="003A6EB1"/>
    <w:rsid w:val="003B427B"/>
    <w:rsid w:val="003D3060"/>
    <w:rsid w:val="003D428A"/>
    <w:rsid w:val="003D61E8"/>
    <w:rsid w:val="003F45CF"/>
    <w:rsid w:val="0041326E"/>
    <w:rsid w:val="00421805"/>
    <w:rsid w:val="00421A3F"/>
    <w:rsid w:val="0043483F"/>
    <w:rsid w:val="004408E8"/>
    <w:rsid w:val="00444700"/>
    <w:rsid w:val="0044724D"/>
    <w:rsid w:val="004531F9"/>
    <w:rsid w:val="004542E0"/>
    <w:rsid w:val="00461869"/>
    <w:rsid w:val="00464CEA"/>
    <w:rsid w:val="00466115"/>
    <w:rsid w:val="0047447C"/>
    <w:rsid w:val="00477F73"/>
    <w:rsid w:val="00481171"/>
    <w:rsid w:val="004876E7"/>
    <w:rsid w:val="00493152"/>
    <w:rsid w:val="00493F68"/>
    <w:rsid w:val="004A0527"/>
    <w:rsid w:val="004A3A8E"/>
    <w:rsid w:val="004A5E40"/>
    <w:rsid w:val="004B3569"/>
    <w:rsid w:val="004B53A4"/>
    <w:rsid w:val="004D40CF"/>
    <w:rsid w:val="004D5BB2"/>
    <w:rsid w:val="004F0717"/>
    <w:rsid w:val="004F1326"/>
    <w:rsid w:val="004F6577"/>
    <w:rsid w:val="00502945"/>
    <w:rsid w:val="0050520B"/>
    <w:rsid w:val="00513E97"/>
    <w:rsid w:val="00546D71"/>
    <w:rsid w:val="00550A75"/>
    <w:rsid w:val="0055151C"/>
    <w:rsid w:val="005602DA"/>
    <w:rsid w:val="00560DED"/>
    <w:rsid w:val="00561FB3"/>
    <w:rsid w:val="00563915"/>
    <w:rsid w:val="00584B70"/>
    <w:rsid w:val="005946B1"/>
    <w:rsid w:val="005954FF"/>
    <w:rsid w:val="005B41A4"/>
    <w:rsid w:val="005B429E"/>
    <w:rsid w:val="005B4DBE"/>
    <w:rsid w:val="005B5F1D"/>
    <w:rsid w:val="005C1FFC"/>
    <w:rsid w:val="005C4184"/>
    <w:rsid w:val="005C7243"/>
    <w:rsid w:val="005E16C6"/>
    <w:rsid w:val="005E54C2"/>
    <w:rsid w:val="005E5FE8"/>
    <w:rsid w:val="005F2B0E"/>
    <w:rsid w:val="00602845"/>
    <w:rsid w:val="00604CEA"/>
    <w:rsid w:val="00607F4F"/>
    <w:rsid w:val="00610C44"/>
    <w:rsid w:val="00642A61"/>
    <w:rsid w:val="0065117F"/>
    <w:rsid w:val="00653671"/>
    <w:rsid w:val="00656492"/>
    <w:rsid w:val="00670309"/>
    <w:rsid w:val="00671F28"/>
    <w:rsid w:val="00672BF2"/>
    <w:rsid w:val="00676082"/>
    <w:rsid w:val="00681991"/>
    <w:rsid w:val="00684679"/>
    <w:rsid w:val="00690D70"/>
    <w:rsid w:val="00697F95"/>
    <w:rsid w:val="006B25EE"/>
    <w:rsid w:val="006B5747"/>
    <w:rsid w:val="006B6D34"/>
    <w:rsid w:val="006B7BAA"/>
    <w:rsid w:val="006C0552"/>
    <w:rsid w:val="006C56E6"/>
    <w:rsid w:val="006D2AA1"/>
    <w:rsid w:val="006D3289"/>
    <w:rsid w:val="006D38B2"/>
    <w:rsid w:val="006E058D"/>
    <w:rsid w:val="006E3C10"/>
    <w:rsid w:val="006E45CF"/>
    <w:rsid w:val="006E7F29"/>
    <w:rsid w:val="006F0796"/>
    <w:rsid w:val="006F2868"/>
    <w:rsid w:val="0070312D"/>
    <w:rsid w:val="00741C00"/>
    <w:rsid w:val="00744A5A"/>
    <w:rsid w:val="00744BAE"/>
    <w:rsid w:val="00751C66"/>
    <w:rsid w:val="00756CD2"/>
    <w:rsid w:val="00760396"/>
    <w:rsid w:val="00762408"/>
    <w:rsid w:val="00763364"/>
    <w:rsid w:val="007665DB"/>
    <w:rsid w:val="0079506D"/>
    <w:rsid w:val="007970CD"/>
    <w:rsid w:val="007B5552"/>
    <w:rsid w:val="007C1028"/>
    <w:rsid w:val="007C5DBA"/>
    <w:rsid w:val="007E2333"/>
    <w:rsid w:val="007E6C44"/>
    <w:rsid w:val="007E7712"/>
    <w:rsid w:val="007F6F59"/>
    <w:rsid w:val="00800141"/>
    <w:rsid w:val="00803146"/>
    <w:rsid w:val="00813462"/>
    <w:rsid w:val="00822C58"/>
    <w:rsid w:val="0082340E"/>
    <w:rsid w:val="00825915"/>
    <w:rsid w:val="008362C0"/>
    <w:rsid w:val="00836DC7"/>
    <w:rsid w:val="00840242"/>
    <w:rsid w:val="0084030D"/>
    <w:rsid w:val="008411DD"/>
    <w:rsid w:val="00841497"/>
    <w:rsid w:val="00844EAF"/>
    <w:rsid w:val="008461D5"/>
    <w:rsid w:val="008554F8"/>
    <w:rsid w:val="0086271D"/>
    <w:rsid w:val="00864A6F"/>
    <w:rsid w:val="008656D4"/>
    <w:rsid w:val="008719CF"/>
    <w:rsid w:val="00876338"/>
    <w:rsid w:val="00876C42"/>
    <w:rsid w:val="008822AB"/>
    <w:rsid w:val="00887AFB"/>
    <w:rsid w:val="008909AF"/>
    <w:rsid w:val="008A2A9A"/>
    <w:rsid w:val="008A4DAC"/>
    <w:rsid w:val="008A618D"/>
    <w:rsid w:val="008B68F7"/>
    <w:rsid w:val="008E64F4"/>
    <w:rsid w:val="008F0B0F"/>
    <w:rsid w:val="008F6E48"/>
    <w:rsid w:val="0090373E"/>
    <w:rsid w:val="00910FBE"/>
    <w:rsid w:val="00914E55"/>
    <w:rsid w:val="009204FB"/>
    <w:rsid w:val="0093120B"/>
    <w:rsid w:val="00935273"/>
    <w:rsid w:val="00944FA3"/>
    <w:rsid w:val="009463CC"/>
    <w:rsid w:val="00951537"/>
    <w:rsid w:val="009535A2"/>
    <w:rsid w:val="009560F3"/>
    <w:rsid w:val="0096155B"/>
    <w:rsid w:val="0096565A"/>
    <w:rsid w:val="00971025"/>
    <w:rsid w:val="009747AF"/>
    <w:rsid w:val="00975E5B"/>
    <w:rsid w:val="0098267C"/>
    <w:rsid w:val="00995AFF"/>
    <w:rsid w:val="00996D6E"/>
    <w:rsid w:val="009A3904"/>
    <w:rsid w:val="009A6535"/>
    <w:rsid w:val="009A6EC2"/>
    <w:rsid w:val="009B506F"/>
    <w:rsid w:val="009B5C0F"/>
    <w:rsid w:val="009B6902"/>
    <w:rsid w:val="009B6DDE"/>
    <w:rsid w:val="009C64E3"/>
    <w:rsid w:val="009C7496"/>
    <w:rsid w:val="009E3D55"/>
    <w:rsid w:val="009E5B2A"/>
    <w:rsid w:val="009E7A87"/>
    <w:rsid w:val="009F08D9"/>
    <w:rsid w:val="009F536F"/>
    <w:rsid w:val="00A00F28"/>
    <w:rsid w:val="00A013CF"/>
    <w:rsid w:val="00A05231"/>
    <w:rsid w:val="00A058BE"/>
    <w:rsid w:val="00A12347"/>
    <w:rsid w:val="00A134E9"/>
    <w:rsid w:val="00A274CE"/>
    <w:rsid w:val="00A27E79"/>
    <w:rsid w:val="00A36DCE"/>
    <w:rsid w:val="00A406E5"/>
    <w:rsid w:val="00A42809"/>
    <w:rsid w:val="00A42ACC"/>
    <w:rsid w:val="00A44B4D"/>
    <w:rsid w:val="00A558DE"/>
    <w:rsid w:val="00A6197A"/>
    <w:rsid w:val="00A72299"/>
    <w:rsid w:val="00A7645B"/>
    <w:rsid w:val="00A76C7F"/>
    <w:rsid w:val="00AA1D28"/>
    <w:rsid w:val="00AA2ECD"/>
    <w:rsid w:val="00AA3DE6"/>
    <w:rsid w:val="00AA53AE"/>
    <w:rsid w:val="00AA6DFA"/>
    <w:rsid w:val="00AA7BD8"/>
    <w:rsid w:val="00AB2DA1"/>
    <w:rsid w:val="00AB308A"/>
    <w:rsid w:val="00AC022B"/>
    <w:rsid w:val="00AC41A9"/>
    <w:rsid w:val="00AD214E"/>
    <w:rsid w:val="00AD253A"/>
    <w:rsid w:val="00AD596D"/>
    <w:rsid w:val="00AD6D5C"/>
    <w:rsid w:val="00AF6C81"/>
    <w:rsid w:val="00B2173E"/>
    <w:rsid w:val="00B22774"/>
    <w:rsid w:val="00B242E6"/>
    <w:rsid w:val="00B274E4"/>
    <w:rsid w:val="00B40888"/>
    <w:rsid w:val="00B4122F"/>
    <w:rsid w:val="00B46BED"/>
    <w:rsid w:val="00B50849"/>
    <w:rsid w:val="00B574A4"/>
    <w:rsid w:val="00B64E97"/>
    <w:rsid w:val="00B66A60"/>
    <w:rsid w:val="00B76B39"/>
    <w:rsid w:val="00B77990"/>
    <w:rsid w:val="00B82711"/>
    <w:rsid w:val="00B87DFC"/>
    <w:rsid w:val="00B9004E"/>
    <w:rsid w:val="00B906E1"/>
    <w:rsid w:val="00B932F3"/>
    <w:rsid w:val="00B934BC"/>
    <w:rsid w:val="00BA0039"/>
    <w:rsid w:val="00BA0172"/>
    <w:rsid w:val="00BB20D8"/>
    <w:rsid w:val="00BB212B"/>
    <w:rsid w:val="00BB6D6E"/>
    <w:rsid w:val="00BC3516"/>
    <w:rsid w:val="00BC37D0"/>
    <w:rsid w:val="00BC45D7"/>
    <w:rsid w:val="00BC6E4B"/>
    <w:rsid w:val="00BD7587"/>
    <w:rsid w:val="00BF5B0B"/>
    <w:rsid w:val="00C03D9D"/>
    <w:rsid w:val="00C051ED"/>
    <w:rsid w:val="00C06151"/>
    <w:rsid w:val="00C11F1D"/>
    <w:rsid w:val="00C14179"/>
    <w:rsid w:val="00C149BF"/>
    <w:rsid w:val="00C20481"/>
    <w:rsid w:val="00C233CE"/>
    <w:rsid w:val="00C266B9"/>
    <w:rsid w:val="00C36349"/>
    <w:rsid w:val="00C47486"/>
    <w:rsid w:val="00C515BC"/>
    <w:rsid w:val="00C5307E"/>
    <w:rsid w:val="00C54DD6"/>
    <w:rsid w:val="00C672D2"/>
    <w:rsid w:val="00C705E2"/>
    <w:rsid w:val="00C71C8D"/>
    <w:rsid w:val="00C7785A"/>
    <w:rsid w:val="00C927EF"/>
    <w:rsid w:val="00C95D24"/>
    <w:rsid w:val="00CA0E49"/>
    <w:rsid w:val="00CA53E1"/>
    <w:rsid w:val="00CA7294"/>
    <w:rsid w:val="00CB3D5E"/>
    <w:rsid w:val="00CB4DCD"/>
    <w:rsid w:val="00CB636D"/>
    <w:rsid w:val="00CC1849"/>
    <w:rsid w:val="00CC2F11"/>
    <w:rsid w:val="00CC3A35"/>
    <w:rsid w:val="00CD5214"/>
    <w:rsid w:val="00CD540A"/>
    <w:rsid w:val="00CE7600"/>
    <w:rsid w:val="00CF0FB1"/>
    <w:rsid w:val="00D155E5"/>
    <w:rsid w:val="00D1642C"/>
    <w:rsid w:val="00D2613E"/>
    <w:rsid w:val="00D26C53"/>
    <w:rsid w:val="00D26E14"/>
    <w:rsid w:val="00D3096C"/>
    <w:rsid w:val="00D32DBF"/>
    <w:rsid w:val="00D348EA"/>
    <w:rsid w:val="00D52189"/>
    <w:rsid w:val="00D54A94"/>
    <w:rsid w:val="00D54FCF"/>
    <w:rsid w:val="00D612A9"/>
    <w:rsid w:val="00D665D8"/>
    <w:rsid w:val="00D73E02"/>
    <w:rsid w:val="00D74E79"/>
    <w:rsid w:val="00D8113E"/>
    <w:rsid w:val="00D84754"/>
    <w:rsid w:val="00D91CAD"/>
    <w:rsid w:val="00DA134B"/>
    <w:rsid w:val="00DA79D1"/>
    <w:rsid w:val="00DB521B"/>
    <w:rsid w:val="00DE254C"/>
    <w:rsid w:val="00DE798A"/>
    <w:rsid w:val="00DF454E"/>
    <w:rsid w:val="00DF7611"/>
    <w:rsid w:val="00E03331"/>
    <w:rsid w:val="00E04113"/>
    <w:rsid w:val="00E041C3"/>
    <w:rsid w:val="00E048E8"/>
    <w:rsid w:val="00E160F7"/>
    <w:rsid w:val="00E20797"/>
    <w:rsid w:val="00E228E6"/>
    <w:rsid w:val="00E31B30"/>
    <w:rsid w:val="00E3356A"/>
    <w:rsid w:val="00E34DC0"/>
    <w:rsid w:val="00E360F2"/>
    <w:rsid w:val="00E427DD"/>
    <w:rsid w:val="00E4320E"/>
    <w:rsid w:val="00E4321C"/>
    <w:rsid w:val="00E449A7"/>
    <w:rsid w:val="00E51F53"/>
    <w:rsid w:val="00E526E8"/>
    <w:rsid w:val="00E57492"/>
    <w:rsid w:val="00E61B30"/>
    <w:rsid w:val="00E65C37"/>
    <w:rsid w:val="00E67B38"/>
    <w:rsid w:val="00E81226"/>
    <w:rsid w:val="00E81464"/>
    <w:rsid w:val="00E82DCF"/>
    <w:rsid w:val="00E917E4"/>
    <w:rsid w:val="00E95689"/>
    <w:rsid w:val="00E95F7F"/>
    <w:rsid w:val="00EA177C"/>
    <w:rsid w:val="00EB723A"/>
    <w:rsid w:val="00EC1253"/>
    <w:rsid w:val="00EC42B2"/>
    <w:rsid w:val="00EC569D"/>
    <w:rsid w:val="00ED1F81"/>
    <w:rsid w:val="00ED379F"/>
    <w:rsid w:val="00ED5703"/>
    <w:rsid w:val="00ED7C2E"/>
    <w:rsid w:val="00EE0469"/>
    <w:rsid w:val="00EE244A"/>
    <w:rsid w:val="00EE28C6"/>
    <w:rsid w:val="00EE684D"/>
    <w:rsid w:val="00EF1D4A"/>
    <w:rsid w:val="00EF1FA9"/>
    <w:rsid w:val="00F01138"/>
    <w:rsid w:val="00F117A5"/>
    <w:rsid w:val="00F14EA6"/>
    <w:rsid w:val="00F1584C"/>
    <w:rsid w:val="00F24ACB"/>
    <w:rsid w:val="00F2542E"/>
    <w:rsid w:val="00F270BD"/>
    <w:rsid w:val="00F27FC0"/>
    <w:rsid w:val="00F35308"/>
    <w:rsid w:val="00F36FD9"/>
    <w:rsid w:val="00F65ACD"/>
    <w:rsid w:val="00F76F9A"/>
    <w:rsid w:val="00F80EB6"/>
    <w:rsid w:val="00F8405D"/>
    <w:rsid w:val="00F92352"/>
    <w:rsid w:val="00F95D73"/>
    <w:rsid w:val="00FB34F6"/>
    <w:rsid w:val="00FC36AB"/>
    <w:rsid w:val="00FC4671"/>
    <w:rsid w:val="00FD3F92"/>
    <w:rsid w:val="00FE14F7"/>
    <w:rsid w:val="00FE2104"/>
    <w:rsid w:val="00FF2845"/>
    <w:rsid w:val="00FF42FB"/>
    <w:rsid w:val="00FF4B3C"/>
    <w:rsid w:val="01135399"/>
    <w:rsid w:val="01A967AF"/>
    <w:rsid w:val="03126EC1"/>
    <w:rsid w:val="04FF0562"/>
    <w:rsid w:val="056C2322"/>
    <w:rsid w:val="062279E7"/>
    <w:rsid w:val="088D0BB9"/>
    <w:rsid w:val="098E77E1"/>
    <w:rsid w:val="09D033F7"/>
    <w:rsid w:val="0AE51120"/>
    <w:rsid w:val="0CC55A09"/>
    <w:rsid w:val="0DC972B1"/>
    <w:rsid w:val="0F3B088E"/>
    <w:rsid w:val="11385DD4"/>
    <w:rsid w:val="11840E93"/>
    <w:rsid w:val="119256AF"/>
    <w:rsid w:val="123B58F9"/>
    <w:rsid w:val="129C1FDA"/>
    <w:rsid w:val="143F62F6"/>
    <w:rsid w:val="151133C2"/>
    <w:rsid w:val="15F95F09"/>
    <w:rsid w:val="185E217B"/>
    <w:rsid w:val="1B2F0735"/>
    <w:rsid w:val="1C9705AD"/>
    <w:rsid w:val="1DDE004C"/>
    <w:rsid w:val="211902FC"/>
    <w:rsid w:val="21EC1E8C"/>
    <w:rsid w:val="22F607E8"/>
    <w:rsid w:val="23265177"/>
    <w:rsid w:val="24076DC4"/>
    <w:rsid w:val="254D027F"/>
    <w:rsid w:val="25B43E05"/>
    <w:rsid w:val="27397FE9"/>
    <w:rsid w:val="2B495EF4"/>
    <w:rsid w:val="2B6B4505"/>
    <w:rsid w:val="2DA52BA3"/>
    <w:rsid w:val="2DE231D3"/>
    <w:rsid w:val="2E855FB2"/>
    <w:rsid w:val="2F0A3E88"/>
    <w:rsid w:val="30FB2C7F"/>
    <w:rsid w:val="31125F8E"/>
    <w:rsid w:val="31216EAC"/>
    <w:rsid w:val="31B171C6"/>
    <w:rsid w:val="320914C9"/>
    <w:rsid w:val="32D86604"/>
    <w:rsid w:val="352D6FAB"/>
    <w:rsid w:val="35CC3847"/>
    <w:rsid w:val="369304CA"/>
    <w:rsid w:val="395057FB"/>
    <w:rsid w:val="39562773"/>
    <w:rsid w:val="3C4C613C"/>
    <w:rsid w:val="3FDA42AE"/>
    <w:rsid w:val="414430F9"/>
    <w:rsid w:val="461817D8"/>
    <w:rsid w:val="466B5CBC"/>
    <w:rsid w:val="469E43E1"/>
    <w:rsid w:val="47B946A3"/>
    <w:rsid w:val="4C133FE8"/>
    <w:rsid w:val="4C7F0211"/>
    <w:rsid w:val="510136A3"/>
    <w:rsid w:val="5133595A"/>
    <w:rsid w:val="53BA19A8"/>
    <w:rsid w:val="55D75A96"/>
    <w:rsid w:val="58C21083"/>
    <w:rsid w:val="5AAC5C94"/>
    <w:rsid w:val="5B4000FF"/>
    <w:rsid w:val="5C3227E0"/>
    <w:rsid w:val="5E560E07"/>
    <w:rsid w:val="601109F2"/>
    <w:rsid w:val="606A75CF"/>
    <w:rsid w:val="614B65E7"/>
    <w:rsid w:val="628B522D"/>
    <w:rsid w:val="63833AFA"/>
    <w:rsid w:val="639D7DDE"/>
    <w:rsid w:val="65683A20"/>
    <w:rsid w:val="66012EBF"/>
    <w:rsid w:val="685D0847"/>
    <w:rsid w:val="690E6DE2"/>
    <w:rsid w:val="69A33F4A"/>
    <w:rsid w:val="6BB36CCE"/>
    <w:rsid w:val="6CF27A15"/>
    <w:rsid w:val="6D9A0C63"/>
    <w:rsid w:val="73135945"/>
    <w:rsid w:val="735C0031"/>
    <w:rsid w:val="744F754B"/>
    <w:rsid w:val="74665964"/>
    <w:rsid w:val="747E1CF2"/>
    <w:rsid w:val="78862C04"/>
    <w:rsid w:val="79555989"/>
    <w:rsid w:val="7B587545"/>
    <w:rsid w:val="7B6A560A"/>
    <w:rsid w:val="7CC737C3"/>
    <w:rsid w:val="7E74636F"/>
    <w:rsid w:val="7EA51B6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2" w:semiHidden="0" w:name="heading 3"/>
    <w:lsdException w:qFormat="1" w:unhideWhenUsed="0" w:uiPriority="3" w:semiHidden="0" w:name="heading 4"/>
    <w:lsdException w:qFormat="1" w:uiPriority="9" w:semiHidden="0" w:name="heading 5"/>
    <w:lsdException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uiPriority="99" w:name="index 7"/>
    <w:lsdException w:uiPriority="99" w:name="index 8"/>
    <w:lsdException w:uiPriority="99" w:name="index 9"/>
    <w:lsdException w:qFormat="1" w:uiPriority="0" w:semiHidden="0" w:name="toc 1"/>
    <w:lsdException w:qFormat="1" w:uiPriority="0"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uiPriority="1" w:name="Default Paragraph Font"/>
    <w:lsdException w:qFormat="1" w:uiPriority="99"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3">
    <w:name w:val="heading 1"/>
    <w:basedOn w:val="4"/>
    <w:next w:val="4"/>
    <w:link w:val="32"/>
    <w:qFormat/>
    <w:uiPriority w:val="0"/>
    <w:pPr>
      <w:numPr>
        <w:ilvl w:val="0"/>
        <w:numId w:val="1"/>
      </w:numPr>
      <w:spacing w:before="120" w:after="60"/>
      <w:ind w:left="0" w:firstLine="200"/>
      <w:jc w:val="left"/>
      <w:outlineLvl w:val="0"/>
    </w:pPr>
    <w:rPr>
      <w:rFonts w:eastAsia="黑体"/>
      <w:bCs/>
      <w:kern w:val="44"/>
      <w:sz w:val="32"/>
      <w:szCs w:val="44"/>
    </w:rPr>
  </w:style>
  <w:style w:type="paragraph" w:styleId="5">
    <w:name w:val="heading 2"/>
    <w:basedOn w:val="4"/>
    <w:next w:val="4"/>
    <w:link w:val="33"/>
    <w:qFormat/>
    <w:uiPriority w:val="1"/>
    <w:pPr>
      <w:keepNext/>
      <w:keepLines/>
      <w:numPr>
        <w:ilvl w:val="1"/>
        <w:numId w:val="1"/>
      </w:numPr>
      <w:spacing w:before="120" w:after="60"/>
      <w:ind w:left="0" w:firstLine="200"/>
      <w:outlineLvl w:val="1"/>
    </w:pPr>
    <w:rPr>
      <w:rFonts w:cstheme="majorBidi"/>
      <w:b/>
      <w:bCs/>
      <w:szCs w:val="32"/>
    </w:rPr>
  </w:style>
  <w:style w:type="paragraph" w:styleId="6">
    <w:name w:val="heading 3"/>
    <w:basedOn w:val="4"/>
    <w:next w:val="4"/>
    <w:link w:val="34"/>
    <w:qFormat/>
    <w:uiPriority w:val="2"/>
    <w:pPr>
      <w:keepNext/>
      <w:keepLines/>
      <w:numPr>
        <w:ilvl w:val="2"/>
        <w:numId w:val="1"/>
      </w:numPr>
      <w:spacing w:before="120" w:after="60"/>
      <w:ind w:left="0" w:firstLine="200"/>
      <w:outlineLvl w:val="2"/>
    </w:pPr>
    <w:rPr>
      <w:b/>
      <w:bCs/>
      <w:szCs w:val="32"/>
    </w:rPr>
  </w:style>
  <w:style w:type="paragraph" w:styleId="7">
    <w:name w:val="heading 4"/>
    <w:basedOn w:val="4"/>
    <w:next w:val="1"/>
    <w:link w:val="35"/>
    <w:qFormat/>
    <w:uiPriority w:val="3"/>
    <w:pPr>
      <w:keepNext/>
      <w:keepLines/>
      <w:numPr>
        <w:ilvl w:val="3"/>
        <w:numId w:val="1"/>
      </w:numPr>
      <w:spacing w:before="120" w:after="60"/>
      <w:ind w:left="0" w:firstLine="200"/>
      <w:outlineLvl w:val="3"/>
    </w:pPr>
    <w:rPr>
      <w:rFonts w:cstheme="majorBidi"/>
      <w:b/>
      <w:bCs/>
    </w:rPr>
  </w:style>
  <w:style w:type="paragraph" w:styleId="8">
    <w:name w:val="heading 5"/>
    <w:basedOn w:val="4"/>
    <w:next w:val="4"/>
    <w:link w:val="36"/>
    <w:unhideWhenUsed/>
    <w:qFormat/>
    <w:uiPriority w:val="9"/>
    <w:pPr>
      <w:keepNext/>
      <w:keepLines/>
      <w:numPr>
        <w:ilvl w:val="4"/>
        <w:numId w:val="1"/>
      </w:numPr>
      <w:spacing w:before="120" w:after="60"/>
      <w:ind w:firstLine="0" w:firstLineChars="0"/>
      <w:outlineLvl w:val="4"/>
    </w:pPr>
    <w:rPr>
      <w:b/>
      <w:bCs/>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30"/>
    <w:unhideWhenUsed/>
    <w:qFormat/>
    <w:uiPriority w:val="99"/>
    <w:pPr>
      <w:tabs>
        <w:tab w:val="left" w:pos="0"/>
      </w:tabs>
    </w:pPr>
    <w:rPr>
      <w:rFonts w:ascii="宋体" w:hAnsi="宋体" w:eastAsia="仿宋_GB2312"/>
      <w:color w:val="000000"/>
      <w:sz w:val="24"/>
    </w:rPr>
  </w:style>
  <w:style w:type="paragraph" w:customStyle="1" w:styleId="4">
    <w:name w:val="闻政正文"/>
    <w:basedOn w:val="1"/>
    <w:link w:val="31"/>
    <w:qFormat/>
    <w:uiPriority w:val="0"/>
    <w:pPr>
      <w:spacing w:line="500" w:lineRule="exact"/>
      <w:ind w:firstLine="200" w:firstLineChars="200"/>
    </w:pPr>
    <w:rPr>
      <w:rFonts w:ascii="Times New Roman" w:hAnsi="Times New Roman" w:eastAsia="仿宋_GB2312" w:cs="Times New Roman"/>
      <w:kern w:val="0"/>
      <w:sz w:val="28"/>
      <w:szCs w:val="28"/>
      <w:lang w:val="zh-CN"/>
    </w:rPr>
  </w:style>
  <w:style w:type="paragraph" w:styleId="9">
    <w:name w:val="caption"/>
    <w:basedOn w:val="1"/>
    <w:next w:val="1"/>
    <w:unhideWhenUsed/>
    <w:qFormat/>
    <w:uiPriority w:val="35"/>
    <w:rPr>
      <w:rFonts w:eastAsia="黑体" w:asciiTheme="majorHAnsi" w:hAnsiTheme="majorHAnsi" w:cstheme="majorBidi"/>
      <w:sz w:val="20"/>
      <w:szCs w:val="20"/>
    </w:rPr>
  </w:style>
  <w:style w:type="paragraph" w:styleId="10">
    <w:name w:val="annotation text"/>
    <w:basedOn w:val="1"/>
    <w:link w:val="37"/>
    <w:unhideWhenUsed/>
    <w:qFormat/>
    <w:uiPriority w:val="0"/>
    <w:pPr>
      <w:jc w:val="left"/>
    </w:pPr>
  </w:style>
  <w:style w:type="paragraph" w:styleId="11">
    <w:name w:val="Body Text Indent"/>
    <w:basedOn w:val="1"/>
    <w:link w:val="73"/>
    <w:unhideWhenUsed/>
    <w:qFormat/>
    <w:uiPriority w:val="0"/>
    <w:pPr>
      <w:spacing w:after="120"/>
      <w:ind w:left="420" w:leftChars="200"/>
    </w:pPr>
  </w:style>
  <w:style w:type="paragraph" w:styleId="12">
    <w:name w:val="index 4"/>
    <w:basedOn w:val="1"/>
    <w:next w:val="1"/>
    <w:qFormat/>
    <w:uiPriority w:val="99"/>
    <w:pPr>
      <w:ind w:left="600" w:leftChars="600"/>
      <w:jc w:val="left"/>
    </w:pPr>
    <w:rPr>
      <w:rFonts w:ascii="DFKai-SB" w:hAnsi="Calibri" w:eastAsia="DFKai-SB" w:cs="Times New Roman"/>
      <w:sz w:val="28"/>
      <w:szCs w:val="24"/>
      <w:lang w:eastAsia="zh-TW"/>
    </w:rPr>
  </w:style>
  <w:style w:type="paragraph" w:styleId="13">
    <w:name w:val="toc 3"/>
    <w:basedOn w:val="1"/>
    <w:next w:val="1"/>
    <w:unhideWhenUsed/>
    <w:qFormat/>
    <w:uiPriority w:val="39"/>
    <w:pPr>
      <w:ind w:left="840" w:leftChars="400"/>
    </w:pPr>
  </w:style>
  <w:style w:type="paragraph" w:styleId="14">
    <w:name w:val="Balloon Text"/>
    <w:basedOn w:val="1"/>
    <w:link w:val="38"/>
    <w:unhideWhenUsed/>
    <w:qFormat/>
    <w:uiPriority w:val="0"/>
    <w:rPr>
      <w:sz w:val="18"/>
      <w:szCs w:val="18"/>
    </w:rPr>
  </w:style>
  <w:style w:type="paragraph" w:styleId="15">
    <w:name w:val="footer"/>
    <w:basedOn w:val="1"/>
    <w:link w:val="39"/>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16">
    <w:name w:val="header"/>
    <w:basedOn w:val="1"/>
    <w:link w:val="40"/>
    <w:unhideWhenUsed/>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4"/>
    <w:next w:val="4"/>
    <w:unhideWhenUsed/>
    <w:qFormat/>
    <w:uiPriority w:val="0"/>
    <w:pPr>
      <w:tabs>
        <w:tab w:val="right" w:leader="dot" w:pos="8296"/>
      </w:tabs>
      <w:spacing w:line="460" w:lineRule="exact"/>
      <w:ind w:firstLine="0" w:firstLineChars="0"/>
    </w:pPr>
    <w:rPr>
      <w:b/>
    </w:rPr>
  </w:style>
  <w:style w:type="paragraph" w:styleId="18">
    <w:name w:val="footnote text"/>
    <w:basedOn w:val="1"/>
    <w:link w:val="41"/>
    <w:qFormat/>
    <w:uiPriority w:val="0"/>
    <w:pPr>
      <w:snapToGrid w:val="0"/>
      <w:jc w:val="left"/>
    </w:pPr>
    <w:rPr>
      <w:rFonts w:ascii="Times New Roman" w:hAnsi="Times New Roman" w:eastAsia="仿宋_GB2312"/>
      <w:sz w:val="18"/>
      <w:szCs w:val="18"/>
    </w:rPr>
  </w:style>
  <w:style w:type="paragraph" w:styleId="19">
    <w:name w:val="toc 2"/>
    <w:basedOn w:val="4"/>
    <w:next w:val="4"/>
    <w:unhideWhenUsed/>
    <w:qFormat/>
    <w:uiPriority w:val="0"/>
    <w:pPr>
      <w:tabs>
        <w:tab w:val="right" w:leader="dot" w:pos="8296"/>
      </w:tabs>
      <w:spacing w:line="460" w:lineRule="exact"/>
      <w:ind w:left="200" w:leftChars="200" w:firstLine="0" w:firstLineChars="0"/>
    </w:pPr>
  </w:style>
  <w:style w:type="paragraph" w:styleId="20">
    <w:name w:val="Normal (Web)"/>
    <w:basedOn w:val="1"/>
    <w:qFormat/>
    <w:uiPriority w:val="0"/>
    <w:rPr>
      <w:rFonts w:ascii="Calibri" w:hAnsi="Calibri" w:eastAsia="宋体"/>
      <w:sz w:val="24"/>
      <w:szCs w:val="22"/>
    </w:rPr>
  </w:style>
  <w:style w:type="paragraph" w:styleId="21">
    <w:name w:val="annotation subject"/>
    <w:basedOn w:val="10"/>
    <w:next w:val="10"/>
    <w:link w:val="42"/>
    <w:unhideWhenUsed/>
    <w:qFormat/>
    <w:uiPriority w:val="0"/>
    <w:rPr>
      <w:b/>
      <w:bCs/>
    </w:rPr>
  </w:style>
  <w:style w:type="table" w:styleId="23">
    <w:name w:val="Table Grid"/>
    <w:basedOn w:val="22"/>
    <w:qFormat/>
    <w:uiPriority w:val="0"/>
    <w:pPr>
      <w:spacing w:line="300" w:lineRule="exact"/>
      <w:jc w:val="center"/>
    </w:pPr>
    <w:rPr>
      <w:rFonts w:eastAsia="仿宋_GB231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rPr>
      <w:tblHeader/>
    </w:trPr>
    <w:tcPr>
      <w:vAlign w:val="center"/>
    </w:tcPr>
  </w:style>
  <w:style w:type="character" w:styleId="25">
    <w:name w:val="Strong"/>
    <w:basedOn w:val="24"/>
    <w:qFormat/>
    <w:uiPriority w:val="22"/>
    <w:rPr>
      <w:b/>
      <w:bCs/>
    </w:rPr>
  </w:style>
  <w:style w:type="character" w:styleId="26">
    <w:name w:val="page number"/>
    <w:basedOn w:val="24"/>
    <w:qFormat/>
    <w:uiPriority w:val="0"/>
  </w:style>
  <w:style w:type="character" w:styleId="27">
    <w:name w:val="Hyperlink"/>
    <w:basedOn w:val="24"/>
    <w:unhideWhenUsed/>
    <w:qFormat/>
    <w:uiPriority w:val="99"/>
    <w:rPr>
      <w:color w:val="0563C1" w:themeColor="hyperlink"/>
      <w:u w:val="single"/>
    </w:rPr>
  </w:style>
  <w:style w:type="character" w:styleId="28">
    <w:name w:val="annotation reference"/>
    <w:basedOn w:val="24"/>
    <w:unhideWhenUsed/>
    <w:qFormat/>
    <w:uiPriority w:val="0"/>
    <w:rPr>
      <w:sz w:val="21"/>
      <w:szCs w:val="21"/>
    </w:rPr>
  </w:style>
  <w:style w:type="character" w:styleId="29">
    <w:name w:val="footnote reference"/>
    <w:qFormat/>
    <w:uiPriority w:val="0"/>
    <w:rPr>
      <w:vertAlign w:val="superscript"/>
    </w:rPr>
  </w:style>
  <w:style w:type="character" w:customStyle="1" w:styleId="30">
    <w:name w:val="正文文本 Char"/>
    <w:basedOn w:val="24"/>
    <w:link w:val="2"/>
    <w:qFormat/>
    <w:uiPriority w:val="99"/>
    <w:rPr>
      <w:rFonts w:ascii="宋体" w:hAnsi="宋体" w:eastAsia="仿宋_GB2312"/>
      <w:color w:val="000000"/>
      <w:kern w:val="2"/>
      <w:sz w:val="24"/>
      <w:szCs w:val="21"/>
    </w:rPr>
  </w:style>
  <w:style w:type="character" w:customStyle="1" w:styleId="31">
    <w:name w:val="闻政正文 Char"/>
    <w:link w:val="4"/>
    <w:qFormat/>
    <w:uiPriority w:val="0"/>
    <w:rPr>
      <w:rFonts w:ascii="Times New Roman" w:hAnsi="Times New Roman" w:eastAsia="仿宋_GB2312" w:cs="Times New Roman"/>
      <w:kern w:val="0"/>
      <w:sz w:val="28"/>
      <w:szCs w:val="28"/>
      <w:lang w:val="zh-CN" w:eastAsia="zh-CN"/>
    </w:rPr>
  </w:style>
  <w:style w:type="character" w:customStyle="1" w:styleId="32">
    <w:name w:val="标题 1 Char"/>
    <w:basedOn w:val="24"/>
    <w:link w:val="3"/>
    <w:qFormat/>
    <w:uiPriority w:val="0"/>
    <w:rPr>
      <w:rFonts w:ascii="Times New Roman" w:hAnsi="Times New Roman" w:eastAsia="黑体" w:cs="Times New Roman"/>
      <w:bCs/>
      <w:kern w:val="44"/>
      <w:sz w:val="32"/>
      <w:szCs w:val="44"/>
      <w:lang w:val="zh-CN" w:eastAsia="zh-CN"/>
    </w:rPr>
  </w:style>
  <w:style w:type="character" w:customStyle="1" w:styleId="33">
    <w:name w:val="标题 2 Char"/>
    <w:basedOn w:val="24"/>
    <w:link w:val="5"/>
    <w:qFormat/>
    <w:uiPriority w:val="1"/>
    <w:rPr>
      <w:rFonts w:ascii="Times New Roman" w:hAnsi="Times New Roman" w:eastAsia="仿宋_GB2312" w:cstheme="majorBidi"/>
      <w:b/>
      <w:bCs/>
      <w:kern w:val="0"/>
      <w:sz w:val="28"/>
      <w:szCs w:val="32"/>
      <w:lang w:val="zh-CN" w:eastAsia="zh-CN"/>
    </w:rPr>
  </w:style>
  <w:style w:type="character" w:customStyle="1" w:styleId="34">
    <w:name w:val="标题 3 Char"/>
    <w:basedOn w:val="24"/>
    <w:link w:val="6"/>
    <w:qFormat/>
    <w:uiPriority w:val="2"/>
    <w:rPr>
      <w:rFonts w:ascii="Times New Roman" w:hAnsi="Times New Roman" w:eastAsia="仿宋_GB2312" w:cs="Times New Roman"/>
      <w:b/>
      <w:bCs/>
      <w:kern w:val="0"/>
      <w:sz w:val="28"/>
      <w:szCs w:val="32"/>
      <w:lang w:val="zh-CN" w:eastAsia="zh-CN"/>
    </w:rPr>
  </w:style>
  <w:style w:type="character" w:customStyle="1" w:styleId="35">
    <w:name w:val="标题 4 Char"/>
    <w:basedOn w:val="24"/>
    <w:link w:val="7"/>
    <w:qFormat/>
    <w:uiPriority w:val="3"/>
    <w:rPr>
      <w:rFonts w:ascii="Times New Roman" w:hAnsi="Times New Roman" w:eastAsia="仿宋_GB2312" w:cstheme="majorBidi"/>
      <w:b/>
      <w:bCs/>
      <w:kern w:val="0"/>
      <w:sz w:val="28"/>
      <w:szCs w:val="28"/>
      <w:lang w:val="zh-CN" w:eastAsia="zh-CN"/>
    </w:rPr>
  </w:style>
  <w:style w:type="character" w:customStyle="1" w:styleId="36">
    <w:name w:val="标题 5 Char"/>
    <w:basedOn w:val="24"/>
    <w:link w:val="8"/>
    <w:qFormat/>
    <w:uiPriority w:val="9"/>
    <w:rPr>
      <w:rFonts w:ascii="Times New Roman" w:hAnsi="Times New Roman" w:eastAsia="仿宋_GB2312" w:cs="Times New Roman"/>
      <w:b/>
      <w:bCs/>
      <w:kern w:val="0"/>
      <w:sz w:val="28"/>
      <w:szCs w:val="28"/>
      <w:lang w:val="zh-CN" w:eastAsia="zh-CN"/>
    </w:rPr>
  </w:style>
  <w:style w:type="character" w:customStyle="1" w:styleId="37">
    <w:name w:val="批注文字 Char"/>
    <w:basedOn w:val="24"/>
    <w:link w:val="10"/>
    <w:qFormat/>
    <w:uiPriority w:val="0"/>
  </w:style>
  <w:style w:type="character" w:customStyle="1" w:styleId="38">
    <w:name w:val="批注框文本 Char"/>
    <w:basedOn w:val="24"/>
    <w:link w:val="14"/>
    <w:qFormat/>
    <w:uiPriority w:val="0"/>
    <w:rPr>
      <w:sz w:val="18"/>
      <w:szCs w:val="18"/>
    </w:rPr>
  </w:style>
  <w:style w:type="character" w:customStyle="1" w:styleId="39">
    <w:name w:val="页脚 Char"/>
    <w:basedOn w:val="24"/>
    <w:link w:val="15"/>
    <w:qFormat/>
    <w:uiPriority w:val="99"/>
    <w:rPr>
      <w:rFonts w:ascii="Calibri" w:hAnsi="Calibri" w:eastAsia="宋体" w:cs="Times New Roman"/>
      <w:sz w:val="18"/>
      <w:szCs w:val="18"/>
    </w:rPr>
  </w:style>
  <w:style w:type="character" w:customStyle="1" w:styleId="40">
    <w:name w:val="页眉 Char"/>
    <w:basedOn w:val="24"/>
    <w:link w:val="16"/>
    <w:qFormat/>
    <w:uiPriority w:val="99"/>
    <w:rPr>
      <w:sz w:val="18"/>
      <w:szCs w:val="18"/>
    </w:rPr>
  </w:style>
  <w:style w:type="character" w:customStyle="1" w:styleId="41">
    <w:name w:val="脚注文本 Char"/>
    <w:basedOn w:val="24"/>
    <w:link w:val="18"/>
    <w:qFormat/>
    <w:uiPriority w:val="0"/>
    <w:rPr>
      <w:rFonts w:ascii="Times New Roman" w:hAnsi="Times New Roman" w:eastAsia="仿宋_GB2312"/>
      <w:sz w:val="18"/>
      <w:szCs w:val="18"/>
    </w:rPr>
  </w:style>
  <w:style w:type="character" w:customStyle="1" w:styleId="42">
    <w:name w:val="批注主题 Char"/>
    <w:basedOn w:val="37"/>
    <w:link w:val="21"/>
    <w:qFormat/>
    <w:uiPriority w:val="0"/>
    <w:rPr>
      <w:b/>
      <w:bCs/>
    </w:rPr>
  </w:style>
  <w:style w:type="paragraph" w:customStyle="1" w:styleId="43">
    <w:name w:val="TOC 标题1"/>
    <w:basedOn w:val="3"/>
    <w:next w:val="1"/>
    <w:unhideWhenUsed/>
    <w:qFormat/>
    <w:uiPriority w:val="39"/>
    <w:pPr>
      <w:widowControl/>
      <w:numPr>
        <w:numId w:val="0"/>
      </w:numPr>
      <w:spacing w:before="240" w:after="0" w:line="259" w:lineRule="auto"/>
      <w:outlineLvl w:val="9"/>
    </w:pPr>
    <w:rPr>
      <w:rFonts w:asciiTheme="majorHAnsi" w:hAnsiTheme="majorHAnsi" w:eastAsiaTheme="majorEastAsia" w:cstheme="majorBidi"/>
      <w:b/>
      <w:bCs w:val="0"/>
      <w:color w:val="2F5496" w:themeColor="accent1" w:themeShade="BF"/>
      <w:kern w:val="0"/>
      <w:szCs w:val="32"/>
    </w:rPr>
  </w:style>
  <w:style w:type="paragraph" w:customStyle="1" w:styleId="44">
    <w:name w:val="闻政封面标题"/>
    <w:basedOn w:val="1"/>
    <w:next w:val="45"/>
    <w:qFormat/>
    <w:uiPriority w:val="0"/>
    <w:pPr>
      <w:spacing w:before="480" w:after="360"/>
      <w:jc w:val="center"/>
    </w:pPr>
    <w:rPr>
      <w:rFonts w:ascii="Times New Roman" w:hAnsi="Times New Roman" w:eastAsia="黑体" w:cs="Times New Roman"/>
      <w:b/>
      <w:snapToGrid w:val="0"/>
      <w:sz w:val="32"/>
      <w:szCs w:val="24"/>
    </w:rPr>
  </w:style>
  <w:style w:type="paragraph" w:customStyle="1" w:styleId="45">
    <w:name w:val="闻政封面项目信息"/>
    <w:basedOn w:val="1"/>
    <w:next w:val="46"/>
    <w:qFormat/>
    <w:uiPriority w:val="0"/>
    <w:pPr>
      <w:spacing w:before="120"/>
      <w:ind w:left="800" w:leftChars="800"/>
      <w:jc w:val="left"/>
    </w:pPr>
    <w:rPr>
      <w:rFonts w:ascii="Times New Roman" w:hAnsi="Times New Roman" w:eastAsia="黑体" w:cs="Times New Roman"/>
      <w:kern w:val="0"/>
      <w:sz w:val="28"/>
      <w:szCs w:val="28"/>
      <w:lang w:val="zh-CN"/>
    </w:rPr>
  </w:style>
  <w:style w:type="paragraph" w:customStyle="1" w:styleId="46">
    <w:name w:val="闻政封面完成时间"/>
    <w:basedOn w:val="45"/>
    <w:qFormat/>
    <w:uiPriority w:val="0"/>
    <w:pPr>
      <w:ind w:left="0" w:leftChars="0"/>
      <w:jc w:val="center"/>
    </w:pPr>
    <w:rPr>
      <w:b/>
    </w:rPr>
  </w:style>
  <w:style w:type="paragraph" w:customStyle="1" w:styleId="47">
    <w:name w:val="闻政页码"/>
    <w:qFormat/>
    <w:uiPriority w:val="6"/>
    <w:pPr>
      <w:jc w:val="center"/>
    </w:pPr>
    <w:rPr>
      <w:rFonts w:ascii="Times New Roman" w:hAnsi="Times New Roman" w:eastAsia="Times New Roman" w:cs="Times New Roman"/>
      <w:sz w:val="21"/>
      <w:szCs w:val="28"/>
      <w:lang w:val="en-US" w:eastAsia="zh-CN" w:bidi="ar-SA"/>
    </w:rPr>
  </w:style>
  <w:style w:type="paragraph" w:customStyle="1" w:styleId="48">
    <w:name w:val="闻政摘要标题"/>
    <w:basedOn w:val="1"/>
    <w:qFormat/>
    <w:uiPriority w:val="2"/>
    <w:pPr>
      <w:spacing w:before="480" w:after="360"/>
      <w:jc w:val="center"/>
      <w:outlineLvl w:val="0"/>
    </w:pPr>
    <w:rPr>
      <w:rFonts w:ascii="Times New Roman" w:hAnsi="Times New Roman" w:eastAsia="黑体" w:cs="Times New Roman"/>
      <w:b/>
      <w:snapToGrid w:val="0"/>
      <w:sz w:val="32"/>
      <w:szCs w:val="24"/>
    </w:rPr>
  </w:style>
  <w:style w:type="paragraph" w:customStyle="1" w:styleId="49">
    <w:name w:val="闻政图（表）注"/>
    <w:basedOn w:val="1"/>
    <w:link w:val="50"/>
    <w:qFormat/>
    <w:uiPriority w:val="5"/>
    <w:pPr>
      <w:spacing w:before="120"/>
    </w:pPr>
    <w:rPr>
      <w:rFonts w:ascii="Times New Roman" w:hAnsi="Times New Roman" w:eastAsia="仿宋_GB2312" w:cs="Arial"/>
      <w:kern w:val="0"/>
    </w:rPr>
  </w:style>
  <w:style w:type="character" w:customStyle="1" w:styleId="50">
    <w:name w:val="闻政图（表）注 Char"/>
    <w:link w:val="49"/>
    <w:qFormat/>
    <w:uiPriority w:val="5"/>
    <w:rPr>
      <w:rFonts w:ascii="Times New Roman" w:hAnsi="Times New Roman" w:eastAsia="仿宋_GB2312" w:cs="Arial"/>
      <w:kern w:val="0"/>
    </w:rPr>
  </w:style>
  <w:style w:type="paragraph" w:customStyle="1" w:styleId="51">
    <w:name w:val="闻政图表名"/>
    <w:basedOn w:val="1"/>
    <w:link w:val="52"/>
    <w:qFormat/>
    <w:uiPriority w:val="4"/>
    <w:pPr>
      <w:spacing w:before="60" w:after="60"/>
      <w:jc w:val="center"/>
    </w:pPr>
    <w:rPr>
      <w:rFonts w:ascii="Times New Roman" w:hAnsi="Times New Roman" w:eastAsia="仿宋_GB2312" w:cs="Times New Roman"/>
      <w:b/>
      <w:kern w:val="0"/>
      <w:sz w:val="24"/>
      <w:szCs w:val="28"/>
    </w:rPr>
  </w:style>
  <w:style w:type="character" w:customStyle="1" w:styleId="52">
    <w:name w:val="闻政图表名 字符"/>
    <w:link w:val="51"/>
    <w:qFormat/>
    <w:uiPriority w:val="4"/>
    <w:rPr>
      <w:rFonts w:ascii="Times New Roman" w:hAnsi="Times New Roman" w:eastAsia="仿宋_GB2312" w:cs="Times New Roman"/>
      <w:b/>
      <w:kern w:val="0"/>
      <w:sz w:val="24"/>
      <w:szCs w:val="28"/>
    </w:rPr>
  </w:style>
  <w:style w:type="paragraph" w:customStyle="1" w:styleId="53">
    <w:name w:val="闻政备注类"/>
    <w:basedOn w:val="4"/>
    <w:qFormat/>
    <w:uiPriority w:val="5"/>
    <w:pPr>
      <w:spacing w:line="240" w:lineRule="auto"/>
      <w:jc w:val="left"/>
    </w:pPr>
    <w:rPr>
      <w:rFonts w:cs="宋体"/>
      <w:sz w:val="21"/>
    </w:rPr>
  </w:style>
  <w:style w:type="paragraph" w:customStyle="1" w:styleId="54">
    <w:name w:val="闻政附件标题"/>
    <w:basedOn w:val="4"/>
    <w:qFormat/>
    <w:uiPriority w:val="5"/>
    <w:pPr>
      <w:numPr>
        <w:ilvl w:val="5"/>
        <w:numId w:val="1"/>
      </w:numPr>
      <w:spacing w:before="120" w:after="60" w:line="240" w:lineRule="auto"/>
      <w:ind w:firstLineChars="0"/>
      <w:outlineLvl w:val="0"/>
    </w:pPr>
    <w:rPr>
      <w:rFonts w:eastAsia="黑体"/>
      <w:b/>
      <w:sz w:val="32"/>
    </w:rPr>
  </w:style>
  <w:style w:type="paragraph" w:customStyle="1" w:styleId="55">
    <w:name w:val="闻政附件正文"/>
    <w:basedOn w:val="4"/>
    <w:qFormat/>
    <w:uiPriority w:val="99"/>
    <w:rPr>
      <w:sz w:val="24"/>
    </w:rPr>
  </w:style>
  <w:style w:type="paragraph" w:customStyle="1" w:styleId="56">
    <w:name w:val="闻政附件报告名"/>
    <w:basedOn w:val="4"/>
    <w:qFormat/>
    <w:uiPriority w:val="9"/>
    <w:pPr>
      <w:spacing w:before="120" w:after="60"/>
      <w:ind w:firstLine="0" w:firstLineChars="0"/>
      <w:jc w:val="center"/>
    </w:pPr>
    <w:rPr>
      <w:b/>
    </w:rPr>
  </w:style>
  <w:style w:type="paragraph" w:customStyle="1" w:styleId="57">
    <w:name w:val="闻政附件一级标题"/>
    <w:basedOn w:val="56"/>
    <w:next w:val="55"/>
    <w:qFormat/>
    <w:uiPriority w:val="6"/>
    <w:pPr>
      <w:ind w:firstLine="200" w:firstLineChars="200"/>
      <w:jc w:val="left"/>
    </w:pPr>
    <w:rPr>
      <w:rFonts w:cs="宋体"/>
    </w:rPr>
  </w:style>
  <w:style w:type="paragraph" w:customStyle="1" w:styleId="58">
    <w:name w:val="闻政附件二级标题"/>
    <w:basedOn w:val="57"/>
    <w:qFormat/>
    <w:uiPriority w:val="8"/>
    <w:rPr>
      <w:rFonts w:ascii="宋体" w:hAnsi="宋体" w:eastAsia="宋体"/>
    </w:rPr>
  </w:style>
  <w:style w:type="paragraph" w:customStyle="1" w:styleId="59">
    <w:name w:val="闻政附件三级标题"/>
    <w:basedOn w:val="58"/>
    <w:qFormat/>
    <w:uiPriority w:val="8"/>
    <w:rPr>
      <w:rFonts w:ascii="Times New Roman" w:hAnsi="Times New Roman" w:eastAsia="仿宋_GB2312"/>
    </w:rPr>
  </w:style>
  <w:style w:type="paragraph" w:customStyle="1" w:styleId="60">
    <w:name w:val="闻政附件四级标题"/>
    <w:basedOn w:val="59"/>
    <w:qFormat/>
    <w:uiPriority w:val="9"/>
    <w:pPr>
      <w:spacing w:before="0" w:after="0"/>
    </w:pPr>
  </w:style>
  <w:style w:type="paragraph" w:customStyle="1" w:styleId="61">
    <w:name w:val="闻政脚注"/>
    <w:basedOn w:val="4"/>
    <w:qFormat/>
    <w:uiPriority w:val="9"/>
    <w:pPr>
      <w:spacing w:line="400" w:lineRule="exact"/>
      <w:ind w:firstLine="0" w:firstLineChars="0"/>
    </w:pPr>
    <w:rPr>
      <w:sz w:val="18"/>
    </w:rPr>
  </w:style>
  <w:style w:type="paragraph" w:customStyle="1" w:styleId="62">
    <w:name w:val="闻政目录标题"/>
    <w:basedOn w:val="44"/>
    <w:qFormat/>
    <w:uiPriority w:val="1"/>
  </w:style>
  <w:style w:type="table" w:customStyle="1" w:styleId="63">
    <w:name w:val="网格型浅色1"/>
    <w:basedOn w:val="22"/>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table" w:customStyle="1" w:styleId="64">
    <w:name w:val="无格式表格 11"/>
    <w:basedOn w:val="22"/>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paragraph" w:customStyle="1" w:styleId="65">
    <w:name w:val="闻政表文字"/>
    <w:basedOn w:val="4"/>
    <w:link w:val="66"/>
    <w:qFormat/>
    <w:uiPriority w:val="5"/>
    <w:pPr>
      <w:widowControl/>
      <w:spacing w:line="320" w:lineRule="exact"/>
      <w:ind w:firstLine="0" w:firstLineChars="0"/>
      <w:jc w:val="center"/>
    </w:pPr>
    <w:rPr>
      <w:rFonts w:cs="宋体"/>
      <w:bCs/>
      <w:color w:val="000000"/>
      <w:sz w:val="22"/>
      <w:szCs w:val="22"/>
    </w:rPr>
  </w:style>
  <w:style w:type="character" w:customStyle="1" w:styleId="66">
    <w:name w:val="闻政表文字 字符"/>
    <w:basedOn w:val="31"/>
    <w:link w:val="65"/>
    <w:qFormat/>
    <w:uiPriority w:val="5"/>
    <w:rPr>
      <w:rFonts w:ascii="Times New Roman" w:hAnsi="Times New Roman" w:eastAsia="仿宋_GB2312" w:cs="宋体"/>
      <w:bCs/>
      <w:color w:val="000000"/>
      <w:kern w:val="0"/>
      <w:sz w:val="22"/>
      <w:szCs w:val="22"/>
      <w:lang w:val="zh-CN" w:eastAsia="zh-CN"/>
    </w:rPr>
  </w:style>
  <w:style w:type="paragraph" w:customStyle="1" w:styleId="67">
    <w:name w:val="正文-闻政"/>
    <w:link w:val="68"/>
    <w:qFormat/>
    <w:uiPriority w:val="0"/>
    <w:pPr>
      <w:spacing w:line="500" w:lineRule="exact"/>
      <w:ind w:firstLine="200" w:firstLineChars="200"/>
      <w:jc w:val="both"/>
    </w:pPr>
    <w:rPr>
      <w:rFonts w:ascii="Times New Roman" w:hAnsi="Times New Roman" w:eastAsia="仿宋_GB2312" w:cs="Times New Roman"/>
      <w:kern w:val="2"/>
      <w:sz w:val="28"/>
      <w:szCs w:val="22"/>
      <w:lang w:val="en-US" w:eastAsia="zh-CN" w:bidi="ar-SA"/>
    </w:rPr>
  </w:style>
  <w:style w:type="character" w:customStyle="1" w:styleId="68">
    <w:name w:val="正文-闻政 Char"/>
    <w:link w:val="67"/>
    <w:qFormat/>
    <w:uiPriority w:val="0"/>
    <w:rPr>
      <w:rFonts w:ascii="Times New Roman" w:hAnsi="Times New Roman" w:eastAsia="仿宋_GB2312" w:cs="Times New Roman"/>
      <w:kern w:val="2"/>
      <w:sz w:val="28"/>
      <w:szCs w:val="22"/>
      <w:lang w:val="en-US" w:eastAsia="zh-CN" w:bidi="ar-SA"/>
    </w:rPr>
  </w:style>
  <w:style w:type="paragraph" w:customStyle="1" w:styleId="69">
    <w:name w:val="闻政表"/>
    <w:basedOn w:val="1"/>
    <w:link w:val="70"/>
    <w:qFormat/>
    <w:uiPriority w:val="0"/>
    <w:pPr>
      <w:spacing w:before="60" w:after="60"/>
      <w:jc w:val="center"/>
    </w:pPr>
    <w:rPr>
      <w:rFonts w:eastAsia="仿宋_GB2312"/>
      <w:b/>
      <w:sz w:val="24"/>
      <w:szCs w:val="28"/>
    </w:rPr>
  </w:style>
  <w:style w:type="character" w:customStyle="1" w:styleId="70">
    <w:name w:val="闻政表 Char"/>
    <w:link w:val="69"/>
    <w:qFormat/>
    <w:uiPriority w:val="0"/>
    <w:rPr>
      <w:rFonts w:eastAsia="仿宋_GB2312"/>
      <w:b/>
      <w:kern w:val="2"/>
      <w:sz w:val="24"/>
      <w:szCs w:val="28"/>
    </w:rPr>
  </w:style>
  <w:style w:type="paragraph" w:styleId="71">
    <w:name w:val="List Paragraph"/>
    <w:basedOn w:val="1"/>
    <w:qFormat/>
    <w:uiPriority w:val="34"/>
    <w:pPr>
      <w:ind w:firstLine="420" w:firstLineChars="200"/>
    </w:pPr>
  </w:style>
  <w:style w:type="paragraph" w:customStyle="1" w:styleId="72">
    <w:name w:val="Char1"/>
    <w:basedOn w:val="1"/>
    <w:qFormat/>
    <w:uiPriority w:val="0"/>
    <w:pPr>
      <w:widowControl/>
      <w:spacing w:after="160" w:line="240" w:lineRule="exact"/>
      <w:jc w:val="left"/>
    </w:pPr>
    <w:rPr>
      <w:rFonts w:ascii="Times New Roman" w:hAnsi="Times New Roman" w:eastAsia="宋体" w:cs="Times New Roman"/>
      <w:sz w:val="32"/>
      <w:szCs w:val="20"/>
    </w:rPr>
  </w:style>
  <w:style w:type="character" w:customStyle="1" w:styleId="73">
    <w:name w:val="正文文本缩进 Char"/>
    <w:basedOn w:val="24"/>
    <w:link w:val="11"/>
    <w:semiHidden/>
    <w:uiPriority w:val="99"/>
    <w:rPr>
      <w:rFonts w:asciiTheme="minorHAnsi" w:hAnsiTheme="minorHAnsi" w:eastAsiaTheme="minorEastAsia" w:cstheme="minorBidi"/>
      <w:kern w:val="2"/>
      <w:sz w:val="21"/>
      <w:szCs w:val="21"/>
    </w:rPr>
  </w:style>
  <w:style w:type="character" w:customStyle="1" w:styleId="74">
    <w:name w:val="font11"/>
    <w:qFormat/>
    <w:uiPriority w:val="0"/>
    <w:rPr>
      <w:rFonts w:hint="eastAsia" w:ascii="宋体" w:hAnsi="宋体" w:eastAsia="宋体" w:cs="宋体"/>
      <w:color w:val="000000"/>
      <w:sz w:val="24"/>
      <w:szCs w:val="24"/>
      <w:u w:val="none"/>
    </w:rPr>
  </w:style>
  <w:style w:type="character" w:customStyle="1" w:styleId="75">
    <w:name w:val="font21"/>
    <w:qFormat/>
    <w:uiPriority w:val="0"/>
    <w:rPr>
      <w:rFonts w:hint="default" w:ascii="仿宋_GB2312" w:eastAsia="仿宋_GB2312" w:cs="仿宋_GB2312"/>
      <w:color w:val="000000"/>
      <w:sz w:val="24"/>
      <w:szCs w:val="24"/>
      <w:u w:val="none"/>
    </w:rPr>
  </w:style>
  <w:style w:type="character" w:customStyle="1" w:styleId="76">
    <w:name w:val="font31"/>
    <w:uiPriority w:val="0"/>
    <w:rPr>
      <w:rFonts w:hint="default" w:ascii="仿宋_GB2312" w:eastAsia="仿宋_GB2312" w:cs="仿宋_GB2312"/>
      <w:color w:val="000000"/>
      <w:sz w:val="24"/>
      <w:szCs w:val="24"/>
      <w:u w:val="none"/>
    </w:rPr>
  </w:style>
  <w:style w:type="character" w:customStyle="1" w:styleId="77">
    <w:name w:val="font01"/>
    <w:uiPriority w:val="0"/>
    <w:rPr>
      <w:rFonts w:hint="eastAsia" w:ascii="宋体" w:hAnsi="宋体" w:eastAsia="宋体" w:cs="宋体"/>
      <w:color w:val="000000"/>
      <w:sz w:val="24"/>
      <w:szCs w:val="24"/>
      <w:u w:val="none"/>
    </w:rPr>
  </w:style>
  <w:style w:type="paragraph" w:customStyle="1" w:styleId="78">
    <w:name w:val="Body text|1"/>
    <w:basedOn w:val="1"/>
    <w:qFormat/>
    <w:uiPriority w:val="0"/>
    <w:pPr>
      <w:spacing w:line="394" w:lineRule="auto"/>
      <w:ind w:firstLine="400"/>
    </w:pPr>
    <w:rPr>
      <w:rFonts w:ascii="宋体" w:hAnsi="宋体" w:eastAsia="宋体" w:cs="宋体"/>
      <w:sz w:val="30"/>
      <w:szCs w:val="30"/>
      <w:lang w:val="zh-TW" w:eastAsia="zh-TW" w:bidi="zh-TW"/>
    </w:rPr>
  </w:style>
  <w:style w:type="paragraph" w:customStyle="1" w:styleId="79">
    <w:name w:val="WPSOffice手动目录 2"/>
    <w:uiPriority w:val="0"/>
    <w:pPr>
      <w:ind w:left="200" w:leftChars="200"/>
    </w:pPr>
    <w:rPr>
      <w:rFonts w:ascii="Times New Roman" w:hAnsi="Times New Roman" w:eastAsia="宋体" w:cs="Times New Roman"/>
      <w:lang w:val="en-US" w:eastAsia="zh-CN" w:bidi="ar-SA"/>
    </w:rPr>
  </w:style>
  <w:style w:type="paragraph" w:styleId="8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81">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04-&#38395;&#25919;-&#26684;&#24335;&#27169;&#26495;-20190219-&#26356;&#26032;-v3.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E28BF0-10E3-4141-B13D-ED787EADBD94}">
  <ds:schemaRefs/>
</ds:datastoreItem>
</file>

<file path=docProps/app.xml><?xml version="1.0" encoding="utf-8"?>
<Properties xmlns="http://schemas.openxmlformats.org/officeDocument/2006/extended-properties" xmlns:vt="http://schemas.openxmlformats.org/officeDocument/2006/docPropsVTypes">
  <Template>04-闻政-格式模板-20190219-更新-v3</Template>
  <Company>galactics</Company>
  <Pages>15</Pages>
  <Words>6023</Words>
  <Characters>6589</Characters>
  <Lines>51</Lines>
  <Paragraphs>14</Paragraphs>
  <TotalTime>150</TotalTime>
  <ScaleCrop>false</ScaleCrop>
  <LinksUpToDate>false</LinksUpToDate>
  <CharactersWithSpaces>6715</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2021-03-31T09:26:00Z</dcterms:created>
  <dc:creator>张恩华</dc:creator>
  <cp:lastModifiedBy>Admin</cp:lastModifiedBy>
  <dcterms:modified xsi:type="dcterms:W3CDTF">2022-04-21T14:24:06Z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y fmtid="{D5CDD505-2E9C-101B-9397-08002B2CF9AE}" pid="3" name="ICV">
    <vt:lpwstr>8BF60A48503442639FF4125E72762F58</vt:lpwstr>
  </property>
</Properties>
</file>